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855"/>
      </w:tblGrid>
      <w:tr w:rsidR="00BB6A87" w:rsidRPr="004A57D8" w:rsidTr="00207A7C">
        <w:trPr>
          <w:trHeight w:hRule="exact" w:val="3558"/>
        </w:trPr>
        <w:tc>
          <w:tcPr>
            <w:tcW w:w="9855" w:type="dxa"/>
            <w:shd w:val="clear" w:color="auto" w:fill="auto"/>
          </w:tcPr>
          <w:p w:rsidR="00BB6A87" w:rsidRDefault="00A01A18" w:rsidP="00CB33BB">
            <w:pPr>
              <w:pStyle w:val="Title"/>
            </w:pPr>
            <w:bookmarkStart w:id="0" w:name="_Toc418157213"/>
            <w:bookmarkStart w:id="1" w:name="_GoBack"/>
            <w:bookmarkEnd w:id="1"/>
            <w:r w:rsidRPr="00A01A18">
              <w:t xml:space="preserve">Guide to </w:t>
            </w:r>
            <w:bookmarkEnd w:id="0"/>
            <w:r w:rsidR="001234C7" w:rsidRPr="001234C7">
              <w:t>business rules for issuing Certificates of Title</w:t>
            </w:r>
          </w:p>
          <w:p w:rsidR="00BB6A87" w:rsidRPr="00CB33BB" w:rsidRDefault="00F221DA" w:rsidP="00207A7C">
            <w:pPr>
              <w:pStyle w:val="CertHDWhite"/>
              <w:rPr>
                <w:rFonts w:ascii="Calibri" w:hAnsi="Calibri" w:cs="Calibri"/>
              </w:rPr>
            </w:pPr>
            <w:r>
              <w:rPr>
                <w:rFonts w:ascii="Calibri" w:hAnsi="Calibri" w:cs="Calibri"/>
                <w:noProof/>
                <w:lang w:eastAsia="en-AU"/>
              </w:rPr>
              <mc:AlternateContent>
                <mc:Choice Requires="wps">
                  <w:drawing>
                    <wp:anchor distT="0" distB="0" distL="114300" distR="114300" simplePos="0" relativeHeight="251634688" behindDoc="0" locked="0" layoutInCell="1" allowOverlap="1" wp14:anchorId="30F1B8AA" wp14:editId="44461964">
                      <wp:simplePos x="0" y="0"/>
                      <wp:positionH relativeFrom="column">
                        <wp:posOffset>-65334</wp:posOffset>
                      </wp:positionH>
                      <wp:positionV relativeFrom="paragraph">
                        <wp:posOffset>1230489</wp:posOffset>
                      </wp:positionV>
                      <wp:extent cx="4233333" cy="428978"/>
                      <wp:effectExtent l="0" t="0" r="0" b="0"/>
                      <wp:wrapNone/>
                      <wp:docPr id="5" name="Text Box 5"/>
                      <wp:cNvGraphicFramePr/>
                      <a:graphic xmlns:a="http://schemas.openxmlformats.org/drawingml/2006/main">
                        <a:graphicData uri="http://schemas.microsoft.com/office/word/2010/wordprocessingShape">
                          <wps:wsp>
                            <wps:cNvSpPr txBox="1"/>
                            <wps:spPr>
                              <a:xfrm>
                                <a:off x="0" y="0"/>
                                <a:ext cx="4233333" cy="4289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AF7" w:rsidRPr="00F221DA" w:rsidRDefault="00574AF7">
                                  <w:pPr>
                                    <w:rPr>
                                      <w:color w:val="FFFFFF" w:themeColor="background1"/>
                                      <w:sz w:val="40"/>
                                      <w:szCs w:val="40"/>
                                    </w:rPr>
                                  </w:pPr>
                                  <w:r w:rsidRPr="00F221DA">
                                    <w:rPr>
                                      <w:color w:val="FFFFFF" w:themeColor="background1"/>
                                      <w:sz w:val="40"/>
                                      <w:szCs w:val="40"/>
                                    </w:rPr>
                                    <w:t>Sub heading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15pt;margin-top:96.9pt;width:333.35pt;height:33.8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" filled="f" stroked="f" strokeweight=".5pt">
                      <v:textbox>
                        <w:txbxContent>
                          <w:p w:rsidR="00574AF7" w:rsidRPr="00F221DA" w:rsidRDefault="00574AF7">
                            <w:pPr>
                              <w:rPr>
                                <w:color w:val="FFFFFF" w:themeColor="background1"/>
                                <w:sz w:val="40"/>
                                <w:szCs w:val="40"/>
                              </w:rPr>
                            </w:pPr>
                            <w:r w:rsidRPr="00F221DA">
                              <w:rPr>
                                <w:color w:val="FFFFFF" w:themeColor="background1"/>
                                <w:sz w:val="40"/>
                                <w:szCs w:val="40"/>
                              </w:rPr>
                              <w:t>Sub heading</w:t>
                            </w:r>
                          </w:p>
                        </w:txbxContent>
                      </v:textbox>
                    </v:shape>
                  </w:pict>
                </mc:Fallback>
              </mc:AlternateContent>
            </w:r>
          </w:p>
        </w:tc>
      </w:tr>
    </w:tbl>
    <w:p w:rsidR="00BB6A87" w:rsidRPr="008B5BB5" w:rsidRDefault="00BD24CF" w:rsidP="00BB6A87">
      <w:r>
        <w:rPr>
          <w:noProof/>
          <w:lang w:eastAsia="en-AU"/>
        </w:rPr>
        <mc:AlternateContent>
          <mc:Choice Requires="wps">
            <w:drawing>
              <wp:anchor distT="0" distB="0" distL="114300" distR="114300" simplePos="0" relativeHeight="251637760" behindDoc="0" locked="0" layoutInCell="1" allowOverlap="1" wp14:anchorId="5048DDAE" wp14:editId="166D3993">
                <wp:simplePos x="0" y="0"/>
                <wp:positionH relativeFrom="column">
                  <wp:posOffset>-347557</wp:posOffset>
                </wp:positionH>
                <wp:positionV relativeFrom="paragraph">
                  <wp:posOffset>148802</wp:posOffset>
                </wp:positionV>
                <wp:extent cx="6807200" cy="6175022"/>
                <wp:effectExtent l="0" t="0" r="0" b="0"/>
                <wp:wrapNone/>
                <wp:docPr id="7" name="Rectangle 7"/>
                <wp:cNvGraphicFramePr/>
                <a:graphic xmlns:a="http://schemas.openxmlformats.org/drawingml/2006/main">
                  <a:graphicData uri="http://schemas.microsoft.com/office/word/2010/wordprocessingShape">
                    <wps:wsp>
                      <wps:cNvSpPr/>
                      <wps:spPr>
                        <a:xfrm>
                          <a:off x="0" y="0"/>
                          <a:ext cx="6807200" cy="6175022"/>
                        </a:xfrm>
                        <a:prstGeom prst="rect">
                          <a:avLst/>
                        </a:prstGeom>
                        <a:solidFill>
                          <a:srgbClr val="E4EAEC"/>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26" style="position:absolute;margin-left:-27.35pt;margin-top:11.7pt;width:536pt;height:486.2pt;z-index:251637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" fillcolor="#e4eaec" stroked="f" strokeweight="2pt"/>
            </w:pict>
          </mc:Fallback>
        </mc:AlternateContent>
      </w:r>
    </w:p>
    <w:tbl>
      <w:tblPr>
        <w:tblW w:w="10709" w:type="dxa"/>
        <w:tblInd w:w="-532" w:type="dxa"/>
        <w:tblLayout w:type="fixed"/>
        <w:tblLook w:val="01E0" w:firstRow="1" w:lastRow="1" w:firstColumn="1" w:lastColumn="1" w:noHBand="0" w:noVBand="0"/>
      </w:tblPr>
      <w:tblGrid>
        <w:gridCol w:w="10709"/>
      </w:tblGrid>
      <w:tr w:rsidR="00BB6A87" w:rsidRPr="00DB5624" w:rsidTr="003F5344">
        <w:trPr>
          <w:trHeight w:hRule="exact" w:val="9982"/>
        </w:trPr>
        <w:tc>
          <w:tcPr>
            <w:tcW w:w="10709" w:type="dxa"/>
            <w:shd w:val="clear" w:color="auto" w:fill="auto"/>
            <w:tcMar>
              <w:left w:w="0" w:type="dxa"/>
              <w:right w:w="0" w:type="dxa"/>
            </w:tcMar>
          </w:tcPr>
          <w:p w:rsidR="00BB6A87" w:rsidRPr="00DB5624" w:rsidRDefault="00BB6A87" w:rsidP="00207A7C">
            <w:pPr>
              <w:pStyle w:val="CertHE"/>
              <w:tabs>
                <w:tab w:val="left" w:pos="459"/>
              </w:tabs>
            </w:pPr>
          </w:p>
        </w:tc>
      </w:tr>
    </w:tbl>
    <w:p w:rsidR="00BB6A87" w:rsidRPr="00CF2728" w:rsidRDefault="00BB6A87" w:rsidP="00DC1725"/>
    <w:p w:rsidR="00BB6A87" w:rsidRDefault="00BB6A87" w:rsidP="00DC1725">
      <w:pPr>
        <w:sectPr w:rsidR="00BB6A87" w:rsidSect="00574AF7">
          <w:headerReference w:type="default" r:id="rId9"/>
          <w:footerReference w:type="default" r:id="rId10"/>
          <w:type w:val="continuous"/>
          <w:pgSz w:w="11907" w:h="16840" w:code="9"/>
          <w:pgMar w:top="1701" w:right="1134" w:bottom="568" w:left="1134" w:header="709" w:footer="709" w:gutter="0"/>
          <w:cols w:space="708"/>
          <w:docGrid w:linePitch="360"/>
        </w:sectPr>
      </w:pPr>
    </w:p>
    <w:p w:rsidR="00823E6F" w:rsidRDefault="00823E6F" w:rsidP="00DF217F"/>
    <w:p w:rsidR="00422EA7" w:rsidRPr="00DF217F" w:rsidRDefault="00422EA7" w:rsidP="00DF217F">
      <w:pPr>
        <w:sectPr w:rsidR="00422EA7" w:rsidRPr="00DF217F" w:rsidSect="00574AF7">
          <w:footerReference w:type="even" r:id="rId11"/>
          <w:type w:val="continuous"/>
          <w:pgSz w:w="11907" w:h="16840" w:code="9"/>
          <w:pgMar w:top="1134" w:right="1134" w:bottom="426" w:left="1134" w:header="709" w:footer="567" w:gutter="0"/>
          <w:pgNumType w:start="1"/>
          <w:cols w:space="708"/>
          <w:titlePg/>
          <w:docGrid w:linePitch="360"/>
        </w:sectPr>
      </w:pPr>
    </w:p>
    <w:tbl>
      <w:tblPr>
        <w:tblW w:w="0" w:type="auto"/>
        <w:tblLook w:val="01E0" w:firstRow="1" w:lastRow="1" w:firstColumn="1" w:lastColumn="1" w:noHBand="0" w:noVBand="0"/>
      </w:tblPr>
      <w:tblGrid>
        <w:gridCol w:w="9855"/>
      </w:tblGrid>
      <w:tr w:rsidR="00A74AEE" w:rsidTr="00566FE3">
        <w:trPr>
          <w:trHeight w:val="13912"/>
        </w:trPr>
        <w:tc>
          <w:tcPr>
            <w:tcW w:w="9855" w:type="dxa"/>
            <w:shd w:val="clear" w:color="auto" w:fill="auto"/>
            <w:vAlign w:val="bottom"/>
          </w:tcPr>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Pr="008A7E20" w:rsidRDefault="00F649B6" w:rsidP="00F649B6">
            <w:pPr>
              <w:autoSpaceDE w:val="0"/>
              <w:autoSpaceDN w:val="0"/>
              <w:adjustRightInd w:val="0"/>
              <w:spacing w:after="320"/>
              <w:rPr>
                <w:rFonts w:ascii="Arial" w:hAnsi="Arial" w:cs="Arial"/>
                <w:color w:val="343F47"/>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F649B6" w:rsidRDefault="00F649B6" w:rsidP="00F649B6">
            <w:pPr>
              <w:autoSpaceDE w:val="0"/>
              <w:autoSpaceDN w:val="0"/>
              <w:adjustRightInd w:val="0"/>
              <w:spacing w:after="320"/>
              <w:rPr>
                <w:rFonts w:ascii="Arial" w:hAnsi="Arial" w:cs="Arial"/>
                <w:sz w:val="14"/>
                <w:szCs w:val="14"/>
              </w:rPr>
            </w:pPr>
          </w:p>
          <w:p w:rsidR="00281AEE" w:rsidRPr="00281AEE" w:rsidRDefault="00281AEE" w:rsidP="00281AEE">
            <w:pPr>
              <w:autoSpaceDE w:val="0"/>
              <w:autoSpaceDN w:val="0"/>
              <w:adjustRightInd w:val="0"/>
              <w:spacing w:after="320"/>
              <w:rPr>
                <w:rFonts w:asciiTheme="minorHAnsi" w:eastAsiaTheme="minorHAnsi" w:hAnsiTheme="minorHAnsi" w:cstheme="minorHAnsi"/>
                <w:sz w:val="16"/>
                <w:szCs w:val="16"/>
              </w:rPr>
            </w:pPr>
            <w:r w:rsidRPr="00281AEE">
              <w:rPr>
                <w:rFonts w:asciiTheme="minorHAnsi" w:eastAsiaTheme="minorHAnsi" w:hAnsiTheme="minorHAnsi" w:cstheme="minorHAnsi"/>
                <w:noProof/>
                <w:sz w:val="16"/>
                <w:szCs w:val="16"/>
                <w:lang w:eastAsia="en-AU"/>
              </w:rPr>
              <w:drawing>
                <wp:anchor distT="0" distB="0" distL="114300" distR="114300" simplePos="0" relativeHeight="251636736" behindDoc="0" locked="0" layoutInCell="1" allowOverlap="1" wp14:anchorId="6A7C069E" wp14:editId="3316C845">
                  <wp:simplePos x="0" y="0"/>
                  <wp:positionH relativeFrom="column">
                    <wp:posOffset>1905</wp:posOffset>
                  </wp:positionH>
                  <wp:positionV relativeFrom="paragraph">
                    <wp:posOffset>208915</wp:posOffset>
                  </wp:positionV>
                  <wp:extent cx="658495" cy="237490"/>
                  <wp:effectExtent l="0" t="0" r="8255" b="0"/>
                  <wp:wrapNone/>
                  <wp:docPr id="6" name="Picture 6"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2">
                            <a:extLst>
                              <a:ext uri="{28A0092B-C50C-407E-A947-70E740481C1C}">
                                <a14:useLocalDpi xmlns:a14="http://schemas.microsoft.com/office/drawing/2010/main" val="0"/>
                              </a:ext>
                            </a:extLst>
                          </a:blip>
                          <a:stretch>
                            <a:fillRect/>
                          </a:stretch>
                        </pic:blipFill>
                        <pic:spPr>
                          <a:xfrm>
                            <a:off x="0" y="0"/>
                            <a:ext cx="658495" cy="237490"/>
                          </a:xfrm>
                          <a:prstGeom prst="rect">
                            <a:avLst/>
                          </a:prstGeom>
                        </pic:spPr>
                      </pic:pic>
                    </a:graphicData>
                  </a:graphic>
                  <wp14:sizeRelH relativeFrom="margin">
                    <wp14:pctWidth>0</wp14:pctWidth>
                  </wp14:sizeRelH>
                  <wp14:sizeRelV relativeFrom="margin">
                    <wp14:pctHeight>0</wp14:pctHeight>
                  </wp14:sizeRelV>
                </wp:anchor>
              </w:drawing>
            </w:r>
            <w:r w:rsidRPr="00281AEE">
              <w:rPr>
                <w:rFonts w:asciiTheme="minorHAnsi" w:eastAsiaTheme="minorHAnsi" w:hAnsiTheme="minorHAnsi" w:cstheme="minorHAnsi"/>
                <w:sz w:val="16"/>
                <w:szCs w:val="16"/>
              </w:rPr>
              <w:t>© The State of Victoria Department of Environment, Land, Water and Planning 2015</w:t>
            </w:r>
          </w:p>
          <w:p w:rsidR="00281AEE" w:rsidRPr="00281AEE" w:rsidRDefault="00281AEE" w:rsidP="00281AEE">
            <w:pPr>
              <w:spacing w:before="100" w:after="60" w:line="175" w:lineRule="atLeast"/>
              <w:rPr>
                <w:rFonts w:asciiTheme="minorHAnsi" w:hAnsiTheme="minorHAnsi" w:cstheme="minorHAnsi"/>
                <w:color w:val="000000" w:themeColor="text1"/>
                <w:sz w:val="16"/>
                <w:szCs w:val="16"/>
                <w:lang w:eastAsia="en-AU"/>
              </w:rPr>
            </w:pPr>
            <w:bookmarkStart w:id="2" w:name="_CreativeCommonsMarker"/>
            <w:bookmarkEnd w:id="2"/>
          </w:p>
          <w:p w:rsidR="00281AEE" w:rsidRPr="00281AEE" w:rsidRDefault="00281AEE" w:rsidP="00281AEE">
            <w:pPr>
              <w:autoSpaceDE w:val="0"/>
              <w:autoSpaceDN w:val="0"/>
              <w:adjustRightInd w:val="0"/>
              <w:spacing w:after="120" w:line="276" w:lineRule="auto"/>
              <w:rPr>
                <w:rFonts w:asciiTheme="minorHAnsi" w:eastAsia="Calibri" w:hAnsiTheme="minorHAnsi" w:cstheme="minorHAnsi"/>
                <w:color w:val="0000FF"/>
                <w:sz w:val="16"/>
                <w:szCs w:val="16"/>
                <w:u w:val="single"/>
              </w:rPr>
            </w:pPr>
            <w:r w:rsidRPr="00281AEE">
              <w:rPr>
                <w:rFonts w:asciiTheme="minorHAnsi" w:eastAsiaTheme="minorHAnsi" w:hAnsiTheme="minorHAnsi" w:cstheme="minorHAnsi"/>
                <w:sz w:val="16"/>
                <w:szCs w:val="16"/>
              </w:rPr>
              <w:t xml:space="preserve">This work is licensed under a Creative Commons Attribution 3.0 Australia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logo. To view a copy of this licence, visit </w:t>
            </w:r>
            <w:hyperlink r:id="rId13" w:history="1">
              <w:r w:rsidRPr="00281AEE">
                <w:rPr>
                  <w:rFonts w:asciiTheme="minorHAnsi" w:eastAsia="Calibri" w:hAnsiTheme="minorHAnsi" w:cstheme="minorHAnsi"/>
                  <w:color w:val="0000FF"/>
                  <w:sz w:val="16"/>
                  <w:szCs w:val="16"/>
                  <w:u w:val="single"/>
                </w:rPr>
                <w:t>http://creativecommons.org/licenses/by/3.0/au/deed.en</w:t>
              </w:r>
            </w:hyperlink>
          </w:p>
          <w:p w:rsidR="00281AEE" w:rsidRPr="00281AEE" w:rsidRDefault="00281AEE" w:rsidP="00281AEE">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Accessibility</w:t>
            </w:r>
          </w:p>
          <w:p w:rsidR="00281AEE" w:rsidRPr="00281AEE" w:rsidRDefault="00281AEE" w:rsidP="00281AEE">
            <w:pPr>
              <w:autoSpaceDE w:val="0"/>
              <w:autoSpaceDN w:val="0"/>
              <w:adjustRightInd w:val="0"/>
              <w:spacing w:after="200" w:line="276" w:lineRule="auto"/>
              <w:rPr>
                <w:rFonts w:asciiTheme="minorHAnsi" w:eastAsia="Calibri" w:hAnsiTheme="minorHAnsi" w:cstheme="minorHAnsi"/>
                <w:color w:val="000000"/>
                <w:sz w:val="16"/>
                <w:szCs w:val="16"/>
              </w:rPr>
            </w:pPr>
            <w:r w:rsidRPr="00281AEE">
              <w:rPr>
                <w:rFonts w:asciiTheme="minorHAnsi" w:eastAsia="Calibri" w:hAnsiTheme="minorHAnsi" w:cstheme="minorHAnsi"/>
                <w:color w:val="000000"/>
                <w:sz w:val="16"/>
                <w:szCs w:val="16"/>
              </w:rPr>
              <w:t xml:space="preserve">If you would like to receive this publication in an alternative format, please telephone the DELWP Customer Service  Centre on 136186, email </w:t>
            </w:r>
            <w:hyperlink r:id="rId14" w:history="1">
              <w:r w:rsidRPr="00281AEE">
                <w:rPr>
                  <w:rFonts w:asciiTheme="minorHAnsi" w:eastAsia="Calibri" w:hAnsiTheme="minorHAnsi" w:cstheme="minorHAnsi"/>
                  <w:color w:val="0000FF"/>
                  <w:sz w:val="16"/>
                  <w:szCs w:val="16"/>
                  <w:u w:val="single"/>
                </w:rPr>
                <w:t>customer.service@delwp.vic.gov.au</w:t>
              </w:r>
            </w:hyperlink>
            <w:r w:rsidRPr="00281AEE">
              <w:rPr>
                <w:rFonts w:asciiTheme="minorHAnsi" w:eastAsia="Calibri" w:hAnsiTheme="minorHAnsi" w:cstheme="minorHAnsi"/>
                <w:color w:val="FF0000"/>
                <w:sz w:val="16"/>
                <w:szCs w:val="16"/>
              </w:rPr>
              <w:t xml:space="preserve"> </w:t>
            </w:r>
            <w:r w:rsidRPr="00281AEE">
              <w:rPr>
                <w:rFonts w:asciiTheme="minorHAnsi" w:eastAsia="Calibri" w:hAnsiTheme="minorHAnsi" w:cstheme="minorHAnsi"/>
                <w:sz w:val="16"/>
                <w:szCs w:val="16"/>
              </w:rPr>
              <w:t xml:space="preserve">or </w:t>
            </w:r>
            <w:r w:rsidRPr="00281AEE">
              <w:rPr>
                <w:rFonts w:asciiTheme="minorHAnsi" w:eastAsia="Calibri" w:hAnsiTheme="minorHAnsi" w:cstheme="minorHAnsi"/>
                <w:color w:val="000000"/>
                <w:sz w:val="16"/>
                <w:szCs w:val="16"/>
              </w:rPr>
              <w:t xml:space="preserve">via the National Relay Service on 133 677  </w:t>
            </w:r>
            <w:hyperlink r:id="rId15" w:history="1">
              <w:r w:rsidRPr="00281AEE">
                <w:rPr>
                  <w:rFonts w:asciiTheme="minorHAnsi" w:eastAsia="Calibri" w:hAnsiTheme="minorHAnsi" w:cstheme="minorHAnsi"/>
                  <w:color w:val="0000FF"/>
                  <w:sz w:val="16"/>
                  <w:szCs w:val="16"/>
                  <w:u w:val="single"/>
                </w:rPr>
                <w:t>www.relayservice.com.au</w:t>
              </w:r>
            </w:hyperlink>
            <w:r w:rsidRPr="00281AEE">
              <w:rPr>
                <w:rFonts w:asciiTheme="minorHAnsi" w:eastAsia="Calibri" w:hAnsiTheme="minorHAnsi" w:cstheme="minorHAnsi"/>
                <w:color w:val="000000"/>
                <w:sz w:val="16"/>
                <w:szCs w:val="16"/>
              </w:rPr>
              <w:t xml:space="preserve">. This document is also available on the internet at </w:t>
            </w:r>
            <w:hyperlink r:id="rId16" w:history="1">
              <w:r w:rsidRPr="00281AEE">
                <w:rPr>
                  <w:rFonts w:asciiTheme="minorHAnsi" w:eastAsia="Calibri" w:hAnsiTheme="minorHAnsi" w:cstheme="minorHAnsi"/>
                  <w:color w:val="0000FF"/>
                  <w:sz w:val="16"/>
                  <w:szCs w:val="16"/>
                  <w:u w:val="single"/>
                </w:rPr>
                <w:t>www.delwp.vic.gov.au</w:t>
              </w:r>
            </w:hyperlink>
          </w:p>
          <w:p w:rsidR="00281AEE" w:rsidRPr="00281AEE" w:rsidRDefault="00281AEE" w:rsidP="00281AEE">
            <w:pPr>
              <w:autoSpaceDE w:val="0"/>
              <w:autoSpaceDN w:val="0"/>
              <w:adjustRightInd w:val="0"/>
              <w:spacing w:after="60"/>
              <w:rPr>
                <w:rFonts w:asciiTheme="minorHAnsi" w:eastAsia="Calibri" w:hAnsiTheme="minorHAnsi" w:cstheme="minorHAnsi"/>
                <w:b/>
                <w:bCs/>
                <w:color w:val="000000"/>
                <w:sz w:val="16"/>
                <w:szCs w:val="16"/>
              </w:rPr>
            </w:pPr>
            <w:r w:rsidRPr="00281AEE">
              <w:rPr>
                <w:rFonts w:asciiTheme="minorHAnsi" w:eastAsia="Calibri" w:hAnsiTheme="minorHAnsi" w:cstheme="minorHAnsi"/>
                <w:b/>
                <w:bCs/>
                <w:color w:val="000000"/>
                <w:sz w:val="16"/>
                <w:szCs w:val="16"/>
              </w:rPr>
              <w:t>Disclaimer</w:t>
            </w:r>
          </w:p>
          <w:p w:rsidR="00A74AEE" w:rsidRPr="009730D5" w:rsidRDefault="00281AEE" w:rsidP="00281AEE">
            <w:pPr>
              <w:rPr>
                <w:sz w:val="14"/>
                <w:szCs w:val="14"/>
              </w:rPr>
            </w:pPr>
            <w:r w:rsidRPr="00281AEE">
              <w:rPr>
                <w:rFonts w:asciiTheme="minorHAnsi" w:eastAsia="Calibri" w:hAnsiTheme="minorHAnsi" w:cstheme="minorHAnsi"/>
                <w:color w:val="000000"/>
                <w:sz w:val="16"/>
                <w:szCs w:val="16"/>
              </w:rP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r>
    </w:tbl>
    <w:p w:rsidR="004536DF" w:rsidRDefault="004536DF" w:rsidP="004536DF"/>
    <w:p w:rsidR="00422EA7" w:rsidRDefault="00422EA7" w:rsidP="004536DF">
      <w:pPr>
        <w:pStyle w:val="TOCTitle"/>
        <w:sectPr w:rsidR="00422EA7" w:rsidSect="00574AF7">
          <w:headerReference w:type="default" r:id="rId17"/>
          <w:footerReference w:type="default" r:id="rId18"/>
          <w:type w:val="continuous"/>
          <w:pgSz w:w="11907" w:h="16840" w:code="9"/>
          <w:pgMar w:top="1134" w:right="1134" w:bottom="425" w:left="1134" w:header="709" w:footer="567" w:gutter="0"/>
          <w:pgNumType w:start="1"/>
          <w:cols w:space="708"/>
          <w:formProt w:val="0"/>
          <w:titlePg/>
          <w:docGrid w:linePitch="360"/>
        </w:sectPr>
      </w:pPr>
    </w:p>
    <w:p w:rsidR="004578FA" w:rsidRPr="003442F7" w:rsidRDefault="004578FA" w:rsidP="004536DF">
      <w:pPr>
        <w:pStyle w:val="TOCTitle"/>
      </w:pPr>
      <w:bookmarkStart w:id="3" w:name="_Toc418157214"/>
      <w:r w:rsidRPr="00040071">
        <w:lastRenderedPageBreak/>
        <w:t>C</w:t>
      </w:r>
      <w:r w:rsidR="00B025B6" w:rsidRPr="00040071">
        <w:t>ontents</w:t>
      </w:r>
      <w:bookmarkEnd w:id="3"/>
    </w:p>
    <w:p w:rsidR="009C1227" w:rsidRDefault="00C93F50">
      <w:pPr>
        <w:pStyle w:val="TOC1"/>
        <w:rPr>
          <w:rFonts w:asciiTheme="minorHAnsi" w:eastAsiaTheme="minorEastAsia" w:hAnsiTheme="minorHAnsi" w:cstheme="minorBidi"/>
          <w:b w:val="0"/>
          <w:color w:val="auto"/>
          <w:szCs w:val="22"/>
          <w:lang w:val="en-AU" w:eastAsia="en-AU"/>
        </w:rPr>
      </w:pPr>
      <w:r>
        <w:fldChar w:fldCharType="begin"/>
      </w:r>
      <w:r>
        <w:instrText xml:space="preserve"> TOC \o "3-3" \h \z \t "Heading 1,1,Heading 2,2,_HA,1,_HB,2,_HC,3" </w:instrText>
      </w:r>
      <w:r>
        <w:fldChar w:fldCharType="separate"/>
      </w:r>
      <w:hyperlink w:anchor="_Toc418605866" w:history="1">
        <w:r w:rsidR="009C1227" w:rsidRPr="00F860F6">
          <w:rPr>
            <w:rStyle w:val="Hyperlink"/>
          </w:rPr>
          <w:t>Introduction</w:t>
        </w:r>
        <w:r w:rsidR="009C1227">
          <w:rPr>
            <w:webHidden/>
          </w:rPr>
          <w:tab/>
        </w:r>
        <w:r w:rsidR="009C1227">
          <w:rPr>
            <w:webHidden/>
          </w:rPr>
          <w:fldChar w:fldCharType="begin"/>
        </w:r>
        <w:r w:rsidR="009C1227">
          <w:rPr>
            <w:webHidden/>
          </w:rPr>
          <w:instrText xml:space="preserve"> PAGEREF _Toc418605866 \h </w:instrText>
        </w:r>
        <w:r w:rsidR="009C1227">
          <w:rPr>
            <w:webHidden/>
          </w:rPr>
        </w:r>
        <w:r w:rsidR="009C1227">
          <w:rPr>
            <w:webHidden/>
          </w:rPr>
          <w:fldChar w:fldCharType="separate"/>
        </w:r>
        <w:r w:rsidR="00D24489">
          <w:rPr>
            <w:webHidden/>
          </w:rPr>
          <w:t>2</w:t>
        </w:r>
        <w:r w:rsidR="009C1227">
          <w:rPr>
            <w:webHidden/>
          </w:rPr>
          <w:fldChar w:fldCharType="end"/>
        </w:r>
      </w:hyperlink>
    </w:p>
    <w:p w:rsidR="009C1227" w:rsidRDefault="0095774A">
      <w:pPr>
        <w:pStyle w:val="TOC1"/>
        <w:rPr>
          <w:rFonts w:asciiTheme="minorHAnsi" w:eastAsiaTheme="minorEastAsia" w:hAnsiTheme="minorHAnsi" w:cstheme="minorBidi"/>
          <w:b w:val="0"/>
          <w:color w:val="auto"/>
          <w:szCs w:val="22"/>
          <w:lang w:val="en-AU" w:eastAsia="en-AU"/>
        </w:rPr>
      </w:pPr>
      <w:hyperlink w:anchor="_Toc418605867" w:history="1">
        <w:r w:rsidR="009C1227" w:rsidRPr="00F860F6">
          <w:rPr>
            <w:rStyle w:val="Hyperlink"/>
          </w:rPr>
          <w:t>Administrative Notices</w:t>
        </w:r>
        <w:r w:rsidR="009C1227">
          <w:rPr>
            <w:webHidden/>
          </w:rPr>
          <w:tab/>
        </w:r>
        <w:r w:rsidR="009C1227">
          <w:rPr>
            <w:webHidden/>
          </w:rPr>
          <w:fldChar w:fldCharType="begin"/>
        </w:r>
        <w:r w:rsidR="009C1227">
          <w:rPr>
            <w:webHidden/>
          </w:rPr>
          <w:instrText xml:space="preserve"> PAGEREF _Toc418605867 \h </w:instrText>
        </w:r>
        <w:r w:rsidR="009C1227">
          <w:rPr>
            <w:webHidden/>
          </w:rPr>
        </w:r>
        <w:r w:rsidR="009C1227">
          <w:rPr>
            <w:webHidden/>
          </w:rPr>
          <w:fldChar w:fldCharType="separate"/>
        </w:r>
        <w:r w:rsidR="00D24489">
          <w:rPr>
            <w:webHidden/>
          </w:rPr>
          <w:t>2</w:t>
        </w:r>
        <w:r w:rsidR="009C1227">
          <w:rPr>
            <w:webHidden/>
          </w:rPr>
          <w:fldChar w:fldCharType="end"/>
        </w:r>
      </w:hyperlink>
    </w:p>
    <w:p w:rsidR="009C1227" w:rsidRDefault="0095774A">
      <w:pPr>
        <w:pStyle w:val="TOC1"/>
        <w:rPr>
          <w:rFonts w:asciiTheme="minorHAnsi" w:eastAsiaTheme="minorEastAsia" w:hAnsiTheme="minorHAnsi" w:cstheme="minorBidi"/>
          <w:b w:val="0"/>
          <w:color w:val="auto"/>
          <w:szCs w:val="22"/>
          <w:lang w:val="en-AU" w:eastAsia="en-AU"/>
        </w:rPr>
      </w:pPr>
      <w:hyperlink w:anchor="_Toc418605868" w:history="1">
        <w:r w:rsidR="009C1227" w:rsidRPr="00F860F6">
          <w:rPr>
            <w:rStyle w:val="Hyperlink"/>
          </w:rPr>
          <w:t>General issuing rules</w:t>
        </w:r>
        <w:r w:rsidR="009C1227">
          <w:rPr>
            <w:webHidden/>
          </w:rPr>
          <w:tab/>
        </w:r>
        <w:r w:rsidR="009C1227">
          <w:rPr>
            <w:webHidden/>
          </w:rPr>
          <w:fldChar w:fldCharType="begin"/>
        </w:r>
        <w:r w:rsidR="009C1227">
          <w:rPr>
            <w:webHidden/>
          </w:rPr>
          <w:instrText xml:space="preserve"> PAGEREF _Toc418605868 \h </w:instrText>
        </w:r>
        <w:r w:rsidR="009C1227">
          <w:rPr>
            <w:webHidden/>
          </w:rPr>
        </w:r>
        <w:r w:rsidR="009C1227">
          <w:rPr>
            <w:webHidden/>
          </w:rPr>
          <w:fldChar w:fldCharType="separate"/>
        </w:r>
        <w:r w:rsidR="00D24489">
          <w:rPr>
            <w:webHidden/>
          </w:rPr>
          <w:t>2</w:t>
        </w:r>
        <w:r w:rsidR="009C1227">
          <w:rPr>
            <w:webHidden/>
          </w:rPr>
          <w:fldChar w:fldCharType="end"/>
        </w:r>
      </w:hyperlink>
    </w:p>
    <w:p w:rsidR="009C1227" w:rsidRDefault="0095774A">
      <w:pPr>
        <w:pStyle w:val="TOC1"/>
        <w:rPr>
          <w:rFonts w:asciiTheme="minorHAnsi" w:eastAsiaTheme="minorEastAsia" w:hAnsiTheme="minorHAnsi" w:cstheme="minorBidi"/>
          <w:b w:val="0"/>
          <w:color w:val="auto"/>
          <w:szCs w:val="22"/>
          <w:lang w:val="en-AU" w:eastAsia="en-AU"/>
        </w:rPr>
      </w:pPr>
      <w:hyperlink w:anchor="_Toc418605869" w:history="1">
        <w:r w:rsidR="009C1227" w:rsidRPr="00F860F6">
          <w:rPr>
            <w:rStyle w:val="Hyperlink"/>
          </w:rPr>
          <w:t>Issuing rules if the folio is cancelled</w:t>
        </w:r>
        <w:r w:rsidR="009C1227">
          <w:rPr>
            <w:webHidden/>
          </w:rPr>
          <w:tab/>
        </w:r>
        <w:r w:rsidR="009C1227">
          <w:rPr>
            <w:webHidden/>
          </w:rPr>
          <w:fldChar w:fldCharType="begin"/>
        </w:r>
        <w:r w:rsidR="009C1227">
          <w:rPr>
            <w:webHidden/>
          </w:rPr>
          <w:instrText xml:space="preserve"> PAGEREF _Toc418605869 \h </w:instrText>
        </w:r>
        <w:r w:rsidR="009C1227">
          <w:rPr>
            <w:webHidden/>
          </w:rPr>
        </w:r>
        <w:r w:rsidR="009C1227">
          <w:rPr>
            <w:webHidden/>
          </w:rPr>
          <w:fldChar w:fldCharType="separate"/>
        </w:r>
        <w:r w:rsidR="00D24489">
          <w:rPr>
            <w:webHidden/>
          </w:rPr>
          <w:t>3</w:t>
        </w:r>
        <w:r w:rsidR="009C1227">
          <w:rPr>
            <w:webHidden/>
          </w:rPr>
          <w:fldChar w:fldCharType="end"/>
        </w:r>
      </w:hyperlink>
    </w:p>
    <w:p w:rsidR="009C1227" w:rsidRDefault="0095774A">
      <w:pPr>
        <w:pStyle w:val="TOC1"/>
        <w:rPr>
          <w:rFonts w:asciiTheme="minorHAnsi" w:eastAsiaTheme="minorEastAsia" w:hAnsiTheme="minorHAnsi" w:cstheme="minorBidi"/>
          <w:b w:val="0"/>
          <w:color w:val="auto"/>
          <w:szCs w:val="22"/>
          <w:lang w:val="en-AU" w:eastAsia="en-AU"/>
        </w:rPr>
      </w:pPr>
      <w:hyperlink w:anchor="_Toc418605870" w:history="1">
        <w:r w:rsidR="009C1227" w:rsidRPr="00F860F6">
          <w:rPr>
            <w:rStyle w:val="Hyperlink"/>
          </w:rPr>
          <w:t>Application of business rules</w:t>
        </w:r>
        <w:r w:rsidR="009C1227">
          <w:rPr>
            <w:webHidden/>
          </w:rPr>
          <w:tab/>
        </w:r>
        <w:r w:rsidR="009C1227">
          <w:rPr>
            <w:webHidden/>
          </w:rPr>
          <w:fldChar w:fldCharType="begin"/>
        </w:r>
        <w:r w:rsidR="009C1227">
          <w:rPr>
            <w:webHidden/>
          </w:rPr>
          <w:instrText xml:space="preserve"> PAGEREF _Toc418605870 \h </w:instrText>
        </w:r>
        <w:r w:rsidR="009C1227">
          <w:rPr>
            <w:webHidden/>
          </w:rPr>
        </w:r>
        <w:r w:rsidR="009C1227">
          <w:rPr>
            <w:webHidden/>
          </w:rPr>
          <w:fldChar w:fldCharType="separate"/>
        </w:r>
        <w:r w:rsidR="00D24489">
          <w:rPr>
            <w:webHidden/>
          </w:rPr>
          <w:t>3</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1" w:history="1">
        <w:r w:rsidR="009C1227" w:rsidRPr="00F860F6">
          <w:rPr>
            <w:rStyle w:val="Hyperlink"/>
          </w:rPr>
          <w:t>1. Transferring a parcel when the folio is not mortgaged</w:t>
        </w:r>
        <w:r w:rsidR="009C1227">
          <w:rPr>
            <w:webHidden/>
          </w:rPr>
          <w:tab/>
        </w:r>
        <w:r w:rsidR="009C1227">
          <w:rPr>
            <w:webHidden/>
          </w:rPr>
          <w:fldChar w:fldCharType="begin"/>
        </w:r>
        <w:r w:rsidR="009C1227">
          <w:rPr>
            <w:webHidden/>
          </w:rPr>
          <w:instrText xml:space="preserve"> PAGEREF _Toc418605871 \h </w:instrText>
        </w:r>
        <w:r w:rsidR="009C1227">
          <w:rPr>
            <w:webHidden/>
          </w:rPr>
        </w:r>
        <w:r w:rsidR="009C1227">
          <w:rPr>
            <w:webHidden/>
          </w:rPr>
          <w:fldChar w:fldCharType="separate"/>
        </w:r>
        <w:r w:rsidR="00D24489">
          <w:rPr>
            <w:webHidden/>
          </w:rPr>
          <w:t>3</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2" w:history="1">
        <w:r w:rsidR="009C1227" w:rsidRPr="00F860F6">
          <w:rPr>
            <w:rStyle w:val="Hyperlink"/>
          </w:rPr>
          <w:t>2. Transferring a parcel when the folio is mortgaged</w:t>
        </w:r>
        <w:r w:rsidR="009C1227">
          <w:rPr>
            <w:webHidden/>
          </w:rPr>
          <w:tab/>
        </w:r>
        <w:r w:rsidR="009C1227">
          <w:rPr>
            <w:webHidden/>
          </w:rPr>
          <w:fldChar w:fldCharType="begin"/>
        </w:r>
        <w:r w:rsidR="009C1227">
          <w:rPr>
            <w:webHidden/>
          </w:rPr>
          <w:instrText xml:space="preserve"> PAGEREF _Toc418605872 \h </w:instrText>
        </w:r>
        <w:r w:rsidR="009C1227">
          <w:rPr>
            <w:webHidden/>
          </w:rPr>
        </w:r>
        <w:r w:rsidR="009C1227">
          <w:rPr>
            <w:webHidden/>
          </w:rPr>
          <w:fldChar w:fldCharType="separate"/>
        </w:r>
        <w:r w:rsidR="00D24489">
          <w:rPr>
            <w:webHidden/>
          </w:rPr>
          <w:t>3</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3" w:history="1">
        <w:r w:rsidR="009C1227" w:rsidRPr="00F860F6">
          <w:rPr>
            <w:rStyle w:val="Hyperlink"/>
          </w:rPr>
          <w:t>3. Plan of subdivision when the folio is mortgaged</w:t>
        </w:r>
        <w:r w:rsidR="009C1227">
          <w:rPr>
            <w:webHidden/>
          </w:rPr>
          <w:tab/>
        </w:r>
        <w:r w:rsidR="009C1227">
          <w:rPr>
            <w:webHidden/>
          </w:rPr>
          <w:fldChar w:fldCharType="begin"/>
        </w:r>
        <w:r w:rsidR="009C1227">
          <w:rPr>
            <w:webHidden/>
          </w:rPr>
          <w:instrText xml:space="preserve"> PAGEREF _Toc418605873 \h </w:instrText>
        </w:r>
        <w:r w:rsidR="009C1227">
          <w:rPr>
            <w:webHidden/>
          </w:rPr>
        </w:r>
        <w:r w:rsidR="009C1227">
          <w:rPr>
            <w:webHidden/>
          </w:rPr>
          <w:fldChar w:fldCharType="separate"/>
        </w:r>
        <w:r w:rsidR="00D24489">
          <w:rPr>
            <w:webHidden/>
          </w:rPr>
          <w:t>4</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4" w:history="1">
        <w:r w:rsidR="009C1227" w:rsidRPr="00F860F6">
          <w:rPr>
            <w:rStyle w:val="Hyperlink"/>
          </w:rPr>
          <w:t>4. Plan of subdivision with following transactions when the folio is mortgaged</w:t>
        </w:r>
        <w:r w:rsidR="009C1227">
          <w:rPr>
            <w:webHidden/>
          </w:rPr>
          <w:tab/>
        </w:r>
        <w:r w:rsidR="009C1227">
          <w:rPr>
            <w:webHidden/>
          </w:rPr>
          <w:fldChar w:fldCharType="begin"/>
        </w:r>
        <w:r w:rsidR="009C1227">
          <w:rPr>
            <w:webHidden/>
          </w:rPr>
          <w:instrText xml:space="preserve"> PAGEREF _Toc418605874 \h </w:instrText>
        </w:r>
        <w:r w:rsidR="009C1227">
          <w:rPr>
            <w:webHidden/>
          </w:rPr>
        </w:r>
        <w:r w:rsidR="009C1227">
          <w:rPr>
            <w:webHidden/>
          </w:rPr>
          <w:fldChar w:fldCharType="separate"/>
        </w:r>
        <w:r w:rsidR="00D24489">
          <w:rPr>
            <w:webHidden/>
          </w:rPr>
          <w:t>4</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5" w:history="1">
        <w:r w:rsidR="009C1227" w:rsidRPr="00F860F6">
          <w:rPr>
            <w:rStyle w:val="Hyperlink"/>
          </w:rPr>
          <w:t>5. Section 35 plan of subdivision acquiring part of the land when the folio is not mortgaged</w:t>
        </w:r>
        <w:r w:rsidR="009C1227">
          <w:rPr>
            <w:webHidden/>
          </w:rPr>
          <w:tab/>
        </w:r>
        <w:r w:rsidR="009C1227">
          <w:rPr>
            <w:webHidden/>
          </w:rPr>
          <w:fldChar w:fldCharType="begin"/>
        </w:r>
        <w:r w:rsidR="009C1227">
          <w:rPr>
            <w:webHidden/>
          </w:rPr>
          <w:instrText xml:space="preserve"> PAGEREF _Toc418605875 \h </w:instrText>
        </w:r>
        <w:r w:rsidR="009C1227">
          <w:rPr>
            <w:webHidden/>
          </w:rPr>
        </w:r>
        <w:r w:rsidR="009C1227">
          <w:rPr>
            <w:webHidden/>
          </w:rPr>
          <w:fldChar w:fldCharType="separate"/>
        </w:r>
        <w:r w:rsidR="00D24489">
          <w:rPr>
            <w:webHidden/>
          </w:rPr>
          <w:t>4</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6" w:history="1">
        <w:r w:rsidR="009C1227" w:rsidRPr="00F860F6">
          <w:rPr>
            <w:rStyle w:val="Hyperlink"/>
          </w:rPr>
          <w:t>6. Section 35 plan of subdivision acquiring part of the land when the folio is mortgaged</w:t>
        </w:r>
        <w:r w:rsidR="009C1227">
          <w:rPr>
            <w:webHidden/>
          </w:rPr>
          <w:tab/>
        </w:r>
        <w:r w:rsidR="009C1227">
          <w:rPr>
            <w:webHidden/>
          </w:rPr>
          <w:fldChar w:fldCharType="begin"/>
        </w:r>
        <w:r w:rsidR="009C1227">
          <w:rPr>
            <w:webHidden/>
          </w:rPr>
          <w:instrText xml:space="preserve"> PAGEREF _Toc418605876 \h </w:instrText>
        </w:r>
        <w:r w:rsidR="009C1227">
          <w:rPr>
            <w:webHidden/>
          </w:rPr>
        </w:r>
        <w:r w:rsidR="009C1227">
          <w:rPr>
            <w:webHidden/>
          </w:rPr>
          <w:fldChar w:fldCharType="separate"/>
        </w:r>
        <w:r w:rsidR="00D24489">
          <w:rPr>
            <w:webHidden/>
          </w:rPr>
          <w:t>5</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7" w:history="1">
        <w:r w:rsidR="009C1227" w:rsidRPr="00F860F6">
          <w:rPr>
            <w:rStyle w:val="Hyperlink"/>
          </w:rPr>
          <w:t>7. Section 32A plan of subdivision when all folios are mortgaged</w:t>
        </w:r>
        <w:r w:rsidR="009C1227">
          <w:rPr>
            <w:webHidden/>
          </w:rPr>
          <w:tab/>
        </w:r>
        <w:r w:rsidR="009C1227">
          <w:rPr>
            <w:webHidden/>
          </w:rPr>
          <w:fldChar w:fldCharType="begin"/>
        </w:r>
        <w:r w:rsidR="009C1227">
          <w:rPr>
            <w:webHidden/>
          </w:rPr>
          <w:instrText xml:space="preserve"> PAGEREF _Toc418605877 \h </w:instrText>
        </w:r>
        <w:r w:rsidR="009C1227">
          <w:rPr>
            <w:webHidden/>
          </w:rPr>
        </w:r>
        <w:r w:rsidR="009C1227">
          <w:rPr>
            <w:webHidden/>
          </w:rPr>
          <w:fldChar w:fldCharType="separate"/>
        </w:r>
        <w:r w:rsidR="00D24489">
          <w:rPr>
            <w:webHidden/>
          </w:rPr>
          <w:t>5</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8" w:history="1">
        <w:r w:rsidR="009C1227" w:rsidRPr="00F860F6">
          <w:rPr>
            <w:rStyle w:val="Hyperlink"/>
          </w:rPr>
          <w:t>8. Not in Common Ownership (NICO) plan of subdivision of two adjoining folios when one folio is mortgaged</w:t>
        </w:r>
        <w:r w:rsidR="009C1227">
          <w:rPr>
            <w:webHidden/>
          </w:rPr>
          <w:tab/>
        </w:r>
        <w:r w:rsidR="009C1227">
          <w:rPr>
            <w:webHidden/>
          </w:rPr>
          <w:fldChar w:fldCharType="begin"/>
        </w:r>
        <w:r w:rsidR="009C1227">
          <w:rPr>
            <w:webHidden/>
          </w:rPr>
          <w:instrText xml:space="preserve"> PAGEREF _Toc418605878 \h </w:instrText>
        </w:r>
        <w:r w:rsidR="009C1227">
          <w:rPr>
            <w:webHidden/>
          </w:rPr>
        </w:r>
        <w:r w:rsidR="009C1227">
          <w:rPr>
            <w:webHidden/>
          </w:rPr>
          <w:fldChar w:fldCharType="separate"/>
        </w:r>
        <w:r w:rsidR="00D24489">
          <w:rPr>
            <w:webHidden/>
          </w:rPr>
          <w:t>5</w:t>
        </w:r>
        <w:r w:rsidR="009C1227">
          <w:rPr>
            <w:webHidden/>
          </w:rPr>
          <w:fldChar w:fldCharType="end"/>
        </w:r>
      </w:hyperlink>
    </w:p>
    <w:p w:rsidR="009C1227" w:rsidRDefault="0095774A">
      <w:pPr>
        <w:pStyle w:val="TOC2"/>
        <w:rPr>
          <w:rFonts w:asciiTheme="minorHAnsi" w:eastAsiaTheme="minorEastAsia" w:hAnsiTheme="minorHAnsi" w:cstheme="minorBidi"/>
          <w:szCs w:val="22"/>
          <w:lang w:eastAsia="en-AU"/>
        </w:rPr>
      </w:pPr>
      <w:hyperlink w:anchor="_Toc418605879" w:history="1">
        <w:r w:rsidR="009C1227" w:rsidRPr="00F860F6">
          <w:rPr>
            <w:rStyle w:val="Hyperlink"/>
          </w:rPr>
          <w:t>9. NICO plan of subdivision of two adjoining folios when both folios are mortgaged</w:t>
        </w:r>
        <w:r w:rsidR="009C1227">
          <w:rPr>
            <w:webHidden/>
          </w:rPr>
          <w:tab/>
        </w:r>
        <w:r w:rsidR="009C1227">
          <w:rPr>
            <w:webHidden/>
          </w:rPr>
          <w:fldChar w:fldCharType="begin"/>
        </w:r>
        <w:r w:rsidR="009C1227">
          <w:rPr>
            <w:webHidden/>
          </w:rPr>
          <w:instrText xml:space="preserve"> PAGEREF _Toc418605879 \h </w:instrText>
        </w:r>
        <w:r w:rsidR="009C1227">
          <w:rPr>
            <w:webHidden/>
          </w:rPr>
        </w:r>
        <w:r w:rsidR="009C1227">
          <w:rPr>
            <w:webHidden/>
          </w:rPr>
          <w:fldChar w:fldCharType="separate"/>
        </w:r>
        <w:r w:rsidR="00D24489">
          <w:rPr>
            <w:webHidden/>
          </w:rPr>
          <w:t>6</w:t>
        </w:r>
        <w:r w:rsidR="009C1227">
          <w:rPr>
            <w:webHidden/>
          </w:rPr>
          <w:fldChar w:fldCharType="end"/>
        </w:r>
      </w:hyperlink>
    </w:p>
    <w:p w:rsidR="009C1227" w:rsidRDefault="0095774A">
      <w:pPr>
        <w:pStyle w:val="TOC1"/>
        <w:rPr>
          <w:rFonts w:asciiTheme="minorHAnsi" w:eastAsiaTheme="minorEastAsia" w:hAnsiTheme="minorHAnsi" w:cstheme="minorBidi"/>
          <w:b w:val="0"/>
          <w:color w:val="auto"/>
          <w:szCs w:val="22"/>
          <w:lang w:val="en-AU" w:eastAsia="en-AU"/>
        </w:rPr>
      </w:pPr>
      <w:hyperlink w:anchor="_Toc418605880" w:history="1">
        <w:r w:rsidR="009C1227" w:rsidRPr="00F860F6">
          <w:rPr>
            <w:rStyle w:val="Hyperlink"/>
          </w:rPr>
          <w:t>Explanatory matrix</w:t>
        </w:r>
        <w:r w:rsidR="009C1227">
          <w:rPr>
            <w:webHidden/>
          </w:rPr>
          <w:tab/>
        </w:r>
        <w:r w:rsidR="009C1227">
          <w:rPr>
            <w:webHidden/>
          </w:rPr>
          <w:fldChar w:fldCharType="begin"/>
        </w:r>
        <w:r w:rsidR="009C1227">
          <w:rPr>
            <w:webHidden/>
          </w:rPr>
          <w:instrText xml:space="preserve"> PAGEREF _Toc418605880 \h </w:instrText>
        </w:r>
        <w:r w:rsidR="009C1227">
          <w:rPr>
            <w:webHidden/>
          </w:rPr>
        </w:r>
        <w:r w:rsidR="009C1227">
          <w:rPr>
            <w:webHidden/>
          </w:rPr>
          <w:fldChar w:fldCharType="separate"/>
        </w:r>
        <w:r w:rsidR="00D24489">
          <w:rPr>
            <w:webHidden/>
          </w:rPr>
          <w:t>8</w:t>
        </w:r>
        <w:r w:rsidR="009C1227">
          <w:rPr>
            <w:webHidden/>
          </w:rPr>
          <w:fldChar w:fldCharType="end"/>
        </w:r>
      </w:hyperlink>
    </w:p>
    <w:p w:rsidR="009C1227" w:rsidRDefault="0095774A">
      <w:pPr>
        <w:pStyle w:val="TOC1"/>
        <w:rPr>
          <w:rFonts w:asciiTheme="minorHAnsi" w:eastAsiaTheme="minorEastAsia" w:hAnsiTheme="minorHAnsi" w:cstheme="minorBidi"/>
          <w:b w:val="0"/>
          <w:color w:val="auto"/>
          <w:szCs w:val="22"/>
          <w:lang w:val="en-AU" w:eastAsia="en-AU"/>
        </w:rPr>
      </w:pPr>
      <w:hyperlink w:anchor="_Toc418605881" w:history="1">
        <w:r w:rsidR="009C1227" w:rsidRPr="00F860F6">
          <w:rPr>
            <w:rStyle w:val="Hyperlink"/>
          </w:rPr>
          <w:t>Contact us</w:t>
        </w:r>
        <w:r w:rsidR="009C1227">
          <w:rPr>
            <w:webHidden/>
          </w:rPr>
          <w:tab/>
        </w:r>
        <w:r w:rsidR="009C1227">
          <w:rPr>
            <w:webHidden/>
          </w:rPr>
          <w:fldChar w:fldCharType="begin"/>
        </w:r>
        <w:r w:rsidR="009C1227">
          <w:rPr>
            <w:webHidden/>
          </w:rPr>
          <w:instrText xml:space="preserve"> PAGEREF _Toc418605881 \h </w:instrText>
        </w:r>
        <w:r w:rsidR="009C1227">
          <w:rPr>
            <w:webHidden/>
          </w:rPr>
        </w:r>
        <w:r w:rsidR="009C1227">
          <w:rPr>
            <w:webHidden/>
          </w:rPr>
          <w:fldChar w:fldCharType="separate"/>
        </w:r>
        <w:r w:rsidR="00D24489">
          <w:rPr>
            <w:webHidden/>
          </w:rPr>
          <w:t>8</w:t>
        </w:r>
        <w:r w:rsidR="009C1227">
          <w:rPr>
            <w:webHidden/>
          </w:rPr>
          <w:fldChar w:fldCharType="end"/>
        </w:r>
      </w:hyperlink>
    </w:p>
    <w:p w:rsidR="00507F90" w:rsidRDefault="00C93F50" w:rsidP="00991C27">
      <w:pPr>
        <w:rPr>
          <w:lang w:val="en-US"/>
        </w:rPr>
      </w:pPr>
      <w:r>
        <w:rPr>
          <w:noProof/>
          <w:color w:val="228591"/>
          <w:lang w:val="en-US"/>
        </w:rPr>
        <w:fldChar w:fldCharType="end"/>
      </w:r>
    </w:p>
    <w:p w:rsidR="00A74AEE" w:rsidRDefault="00A74AEE" w:rsidP="00991C27">
      <w:pPr>
        <w:rPr>
          <w:lang w:val="en-US"/>
        </w:rPr>
      </w:pPr>
    </w:p>
    <w:p w:rsidR="00A735F0" w:rsidRDefault="00A735F0" w:rsidP="00991C27">
      <w:pPr>
        <w:rPr>
          <w:lang w:val="en-US"/>
        </w:rPr>
      </w:pPr>
    </w:p>
    <w:p w:rsidR="00B3061B" w:rsidRDefault="00B3061B" w:rsidP="00CB33BB">
      <w:pPr>
        <w:pStyle w:val="TOC1"/>
        <w:sectPr w:rsidR="00B3061B" w:rsidSect="00574AF7">
          <w:footerReference w:type="default" r:id="rId19"/>
          <w:headerReference w:type="first" r:id="rId20"/>
          <w:footerReference w:type="first" r:id="rId21"/>
          <w:pgSz w:w="11907" w:h="16840" w:code="9"/>
          <w:pgMar w:top="1134" w:right="1134" w:bottom="425" w:left="1134" w:header="709" w:footer="567" w:gutter="0"/>
          <w:pgNumType w:start="1"/>
          <w:cols w:space="708"/>
          <w:formProt w:val="0"/>
          <w:titlePg/>
          <w:docGrid w:linePitch="360"/>
        </w:sectPr>
      </w:pPr>
    </w:p>
    <w:p w:rsidR="001234C7" w:rsidRDefault="001234C7" w:rsidP="001234C7">
      <w:pPr>
        <w:pStyle w:val="HA"/>
      </w:pPr>
      <w:bookmarkStart w:id="4" w:name="_Toc418605866"/>
      <w:r>
        <w:lastRenderedPageBreak/>
        <w:t>Introduction</w:t>
      </w:r>
      <w:bookmarkEnd w:id="4"/>
    </w:p>
    <w:p w:rsidR="001234C7" w:rsidRDefault="001234C7" w:rsidP="001234C7">
      <w:pPr>
        <w:pStyle w:val="Body2"/>
      </w:pPr>
      <w:r>
        <w:t xml:space="preserve">The Certificate of Title (CT) </w:t>
      </w:r>
      <w:r w:rsidR="006838FA">
        <w:t xml:space="preserve">document </w:t>
      </w:r>
      <w:r>
        <w:t>is a conclusive certificate by the Registrar of Titles (the Registrar) of the information on a folio of the Register, as at the date and time the CT is issued by Land Victoria. There are two types of Certificates of Title</w:t>
      </w:r>
      <w:r w:rsidR="00034132">
        <w:t xml:space="preserve"> (CTs)</w:t>
      </w:r>
      <w:r>
        <w:t xml:space="preserve"> available in Victoria, the paper CT (</w:t>
      </w:r>
      <w:proofErr w:type="spellStart"/>
      <w:r>
        <w:t>pCT</w:t>
      </w:r>
      <w:proofErr w:type="spellEnd"/>
      <w:r>
        <w:t>) and the electronic CT (</w:t>
      </w:r>
      <w:proofErr w:type="spellStart"/>
      <w:r>
        <w:t>eCT</w:t>
      </w:r>
      <w:proofErr w:type="spellEnd"/>
      <w:r>
        <w:t>).</w:t>
      </w:r>
    </w:p>
    <w:p w:rsidR="001234C7" w:rsidRDefault="001234C7" w:rsidP="001234C7">
      <w:pPr>
        <w:pStyle w:val="Body2"/>
      </w:pPr>
      <w:r>
        <w:t>Further information on the different types of CT is available in the Guide to Certificates of Title and Administrative Notices, on the Forms, guides and fees page at www.dtpli.vic.gov.au/property&gt;Forms, guides and fees.</w:t>
      </w:r>
    </w:p>
    <w:p w:rsidR="001234C7" w:rsidRDefault="001234C7" w:rsidP="001234C7">
      <w:pPr>
        <w:pStyle w:val="Body2"/>
      </w:pPr>
      <w:r>
        <w:t>As part of the settlement process, the CT is passed from the party holding it to an incoming first mortgagee; or, if there is no mortgage, the purchaser. This enables each incoming party to gain registration of their interest.</w:t>
      </w:r>
    </w:p>
    <w:p w:rsidR="001234C7" w:rsidRDefault="001234C7" w:rsidP="001234C7">
      <w:pPr>
        <w:pStyle w:val="Body2"/>
      </w:pPr>
      <w:r>
        <w:t xml:space="preserve">Under the </w:t>
      </w:r>
      <w:r w:rsidRPr="001234C7">
        <w:rPr>
          <w:i/>
        </w:rPr>
        <w:t>Transfer of Land Act 1958</w:t>
      </w:r>
      <w:r>
        <w:t xml:space="preserve"> the CT must be produced for most instruments that are lodged for registration at Land Victoria. The CT can be produced by the lodging party or it can be nominated by a third party to support lodgement of the instrument.</w:t>
      </w:r>
    </w:p>
    <w:p w:rsidR="001234C7" w:rsidRDefault="001234C7" w:rsidP="001234C7">
      <w:pPr>
        <w:pStyle w:val="Body2"/>
      </w:pPr>
      <w:r>
        <w:t xml:space="preserve">A CT is usually issued by Land Victoria after each registration affecting the interests on a folio. For example, following the registration of a transfer or mortgage. </w:t>
      </w:r>
    </w:p>
    <w:p w:rsidR="001234C7" w:rsidRDefault="001234C7" w:rsidP="001234C7">
      <w:pPr>
        <w:pStyle w:val="HA"/>
      </w:pPr>
      <w:bookmarkStart w:id="5" w:name="_Toc418605867"/>
      <w:r>
        <w:t>Administrative Notices</w:t>
      </w:r>
      <w:bookmarkEnd w:id="5"/>
    </w:p>
    <w:p w:rsidR="001234C7" w:rsidRDefault="001234C7" w:rsidP="001234C7">
      <w:pPr>
        <w:pStyle w:val="Body2"/>
      </w:pPr>
      <w:r>
        <w:t>If the CT needs to be nominated to either a paper instrument or electronic Lodgement Case, an appropriate Administrative Notice must be provided by the party making the nomination (the applicant).</w:t>
      </w:r>
    </w:p>
    <w:p w:rsidR="001234C7" w:rsidRDefault="001234C7" w:rsidP="001234C7">
      <w:pPr>
        <w:pStyle w:val="Body2"/>
      </w:pPr>
      <w:r>
        <w:t xml:space="preserve">If the CT is an </w:t>
      </w:r>
      <w:proofErr w:type="spellStart"/>
      <w:r>
        <w:t>eCT</w:t>
      </w:r>
      <w:proofErr w:type="spellEnd"/>
      <w:r>
        <w:t xml:space="preserve">, it must be nominated using an electronic Administrative Notice available from PEXA. If the CT is a </w:t>
      </w:r>
      <w:proofErr w:type="spellStart"/>
      <w:r>
        <w:t>pCT</w:t>
      </w:r>
      <w:proofErr w:type="spellEnd"/>
      <w:r>
        <w:t xml:space="preserve">, it must be nominated using a paper Administrative Notice available from Land Victoria. </w:t>
      </w:r>
    </w:p>
    <w:p w:rsidR="001234C7" w:rsidRDefault="001234C7" w:rsidP="001234C7">
      <w:pPr>
        <w:pStyle w:val="Body2"/>
      </w:pPr>
      <w:r>
        <w:t>Further information on the different types of Administrative Notices is available in the Guide to Certificates of Title and Administrative Notices, on the Forms, guides and fees page at www.dtpli.vic.gov.au/property&gt;Forms, guides and fees.</w:t>
      </w:r>
    </w:p>
    <w:p w:rsidR="001234C7" w:rsidRDefault="001234C7" w:rsidP="001234C7">
      <w:pPr>
        <w:pStyle w:val="HA"/>
      </w:pPr>
      <w:bookmarkStart w:id="6" w:name="_Toc418605868"/>
      <w:r>
        <w:t>General issuing rules</w:t>
      </w:r>
      <w:bookmarkEnd w:id="6"/>
    </w:p>
    <w:p w:rsidR="001234C7" w:rsidRDefault="001234C7" w:rsidP="001234C7">
      <w:pPr>
        <w:pStyle w:val="Body2"/>
      </w:pPr>
      <w:r>
        <w:t>In most instances, the CT will issue to the lodging party of a paper instrument; or, if the CT has been nominated to a paper or electronic instrument, it will issue in accordance with the instructions provided in the Administrative Notice.</w:t>
      </w:r>
    </w:p>
    <w:p w:rsidR="001234C7" w:rsidRDefault="001234C7" w:rsidP="001234C7">
      <w:pPr>
        <w:pStyle w:val="Body2"/>
      </w:pPr>
      <w:r>
        <w:t xml:space="preserve">Examples would be: </w:t>
      </w:r>
    </w:p>
    <w:p w:rsidR="001234C7" w:rsidRDefault="0047768C" w:rsidP="001234C7">
      <w:pPr>
        <w:pStyle w:val="Body2"/>
      </w:pPr>
      <w:r>
        <w:t>DISCHARGE OF MORTGAGE, TRANSFER OF LAND AND MORTGAGE</w:t>
      </w:r>
    </w:p>
    <w:p w:rsidR="001234C7" w:rsidRDefault="001234C7" w:rsidP="001234C7">
      <w:pPr>
        <w:pStyle w:val="Body2"/>
      </w:pPr>
      <w:r>
        <w:t>The discharge of mortgage, transfer of land, mortgage and relevant CT are lodged by Victoria Bank Ltd.</w:t>
      </w:r>
    </w:p>
    <w:p w:rsidR="001234C7" w:rsidRDefault="001234C7" w:rsidP="001234C7">
      <w:pPr>
        <w:pStyle w:val="Body2"/>
      </w:pPr>
      <w:r>
        <w:t>Following registration:</w:t>
      </w:r>
    </w:p>
    <w:p w:rsidR="001234C7" w:rsidRDefault="001234C7" w:rsidP="001234C7">
      <w:pPr>
        <w:pStyle w:val="Body2"/>
      </w:pPr>
      <w:r>
        <w:t xml:space="preserve">The folio is mortgaged to Victoria Bank Ltd. The CT issues to the lodging party, Victoria Bank Ltd. </w:t>
      </w:r>
    </w:p>
    <w:p w:rsidR="001234C7" w:rsidRDefault="0047768C" w:rsidP="001234C7">
      <w:pPr>
        <w:pStyle w:val="Body2"/>
      </w:pPr>
      <w:r>
        <w:t>SURVIVORSHIP APPLICATION WHEN THE FOLIO IS MORTGAGED</w:t>
      </w:r>
    </w:p>
    <w:p w:rsidR="001234C7" w:rsidRDefault="001234C7" w:rsidP="001234C7">
      <w:pPr>
        <w:pStyle w:val="Body2"/>
      </w:pPr>
      <w:r>
        <w:t>The survivorship application is lodged by Smith &amp; Jones Lawyers against a folio mortgaged to Victoria Bank Ltd.</w:t>
      </w:r>
    </w:p>
    <w:p w:rsidR="001234C7" w:rsidRDefault="001234C7" w:rsidP="001234C7">
      <w:pPr>
        <w:pStyle w:val="Body2"/>
      </w:pPr>
      <w:r>
        <w:t xml:space="preserve">The CT was previously nominated by Victoria Bank Ltd, with instructions to issue the CT to Victoria Bank Ltd. </w:t>
      </w:r>
    </w:p>
    <w:p w:rsidR="001234C7" w:rsidRDefault="001234C7" w:rsidP="001234C7">
      <w:pPr>
        <w:pStyle w:val="Body2"/>
      </w:pPr>
      <w:r>
        <w:lastRenderedPageBreak/>
        <w:t>Following registration:</w:t>
      </w:r>
    </w:p>
    <w:p w:rsidR="001234C7" w:rsidRDefault="001234C7" w:rsidP="001234C7">
      <w:pPr>
        <w:pStyle w:val="Body2"/>
      </w:pPr>
      <w:r>
        <w:t>The folio remains subject to the mortgage and the CT issues to Victoria Bank Ltd (in accordance with the instructions provided in the Administrative Notice).</w:t>
      </w:r>
    </w:p>
    <w:p w:rsidR="001234C7" w:rsidRDefault="001234C7" w:rsidP="001234C7">
      <w:pPr>
        <w:pStyle w:val="HA"/>
      </w:pPr>
      <w:bookmarkStart w:id="7" w:name="_Toc418605869"/>
      <w:r>
        <w:t>Issuing rules if the folio is cancelled</w:t>
      </w:r>
      <w:bookmarkEnd w:id="7"/>
    </w:p>
    <w:p w:rsidR="001234C7" w:rsidRDefault="001234C7" w:rsidP="001234C7">
      <w:pPr>
        <w:pStyle w:val="Body2"/>
      </w:pPr>
      <w:r>
        <w:t xml:space="preserve">If a folio is cancelled by an instrument or plan, the issuing instructions provided by the applicant no longer apply. Instead, Land Victoria staff apply business rules to determine which party will be issued the CTs for the child folio(s). </w:t>
      </w:r>
    </w:p>
    <w:p w:rsidR="001234C7" w:rsidRDefault="001234C7" w:rsidP="001234C7">
      <w:pPr>
        <w:pStyle w:val="Body2"/>
      </w:pPr>
      <w:r>
        <w:t>In essence, the business rules provide for:</w:t>
      </w:r>
    </w:p>
    <w:p w:rsidR="001234C7" w:rsidRDefault="001234C7" w:rsidP="001234C7">
      <w:pPr>
        <w:pStyle w:val="Bullet"/>
      </w:pPr>
      <w:r>
        <w:t>a folio not subject to a mortgage, in which case the new CT will issue to the lodging party of the instrument or plan</w:t>
      </w:r>
    </w:p>
    <w:p w:rsidR="001234C7" w:rsidRDefault="001234C7" w:rsidP="001234C7">
      <w:pPr>
        <w:pStyle w:val="Bullet"/>
      </w:pPr>
      <w:r>
        <w:t xml:space="preserve">a folio remaining subject to a mortgage carried forward from a parent folio, in which case the new CT will issue to the party that nominated the mortgaged parent CT </w:t>
      </w:r>
    </w:p>
    <w:p w:rsidR="001234C7" w:rsidRDefault="001234C7" w:rsidP="001234C7">
      <w:pPr>
        <w:pStyle w:val="Bullet"/>
      </w:pPr>
      <w:r>
        <w:t xml:space="preserve">a child folio Not in Common Ownership (NICO) and subject to a mortgage carried forward from a parent folio, in which case the new CT will issue to the party that nominated the parent CT </w:t>
      </w:r>
    </w:p>
    <w:p w:rsidR="001234C7" w:rsidRDefault="001234C7" w:rsidP="001234C7">
      <w:pPr>
        <w:pStyle w:val="Bullet"/>
      </w:pPr>
      <w:r>
        <w:t>a NICO child folio subject to two or more mortgages carried forward from parent folios, in which case the new CT will issue to the party that nominated the parent CT subject to the mortgage with first priority (this is usually the one registered first in time, but may be otherwise if a parent folio was affected by a variation of priority of mortgage).</w:t>
      </w:r>
    </w:p>
    <w:p w:rsidR="001234C7" w:rsidRDefault="001234C7" w:rsidP="001234C7">
      <w:pPr>
        <w:pStyle w:val="HA"/>
      </w:pPr>
      <w:bookmarkStart w:id="8" w:name="_Toc418605870"/>
      <w:r>
        <w:t>Application of business rules</w:t>
      </w:r>
      <w:bookmarkEnd w:id="8"/>
    </w:p>
    <w:p w:rsidR="001234C7" w:rsidRDefault="001234C7" w:rsidP="001234C7">
      <w:pPr>
        <w:pStyle w:val="Body2"/>
      </w:pPr>
      <w:r>
        <w:t xml:space="preserve">Scenarios illustrating the application of Land Victoria’s business rules are discussed below. </w:t>
      </w:r>
    </w:p>
    <w:p w:rsidR="001234C7" w:rsidRDefault="001234C7" w:rsidP="001234C7">
      <w:pPr>
        <w:pStyle w:val="Body2"/>
      </w:pPr>
      <w:r>
        <w:t xml:space="preserve">See explanatory matrix at the end of this section detailing the outcomes of each scenario. </w:t>
      </w:r>
    </w:p>
    <w:p w:rsidR="001234C7" w:rsidRDefault="005522FF" w:rsidP="001234C7">
      <w:pPr>
        <w:pStyle w:val="HB"/>
      </w:pPr>
      <w:bookmarkStart w:id="9" w:name="_Toc418605871"/>
      <w:r>
        <w:t xml:space="preserve">1. </w:t>
      </w:r>
      <w:r w:rsidR="001234C7">
        <w:t>Transferring a parcel when the folio is not mortgaged</w:t>
      </w:r>
      <w:bookmarkEnd w:id="9"/>
    </w:p>
    <w:p w:rsidR="001234C7" w:rsidRDefault="001234C7" w:rsidP="001234C7">
      <w:pPr>
        <w:pStyle w:val="Body2"/>
      </w:pPr>
      <w:r>
        <w:t>This scenario involves transferring lot 1 from a folio, which contains two transferable parcels – lots 1 and 2. The folio is not mortgaged. The CT was previously nominated by Smith &amp; Jones Lawyers, who held the CT on behalf of the owner.</w:t>
      </w:r>
    </w:p>
    <w:p w:rsidR="001234C7" w:rsidRDefault="001234C7" w:rsidP="001234C7">
      <w:pPr>
        <w:pStyle w:val="Body2"/>
      </w:pPr>
      <w:r>
        <w:t xml:space="preserve">Transfer of lot 1 is lodged on behalf of the purchaser by Rogers &amp; Brown Lawyers. </w:t>
      </w:r>
    </w:p>
    <w:p w:rsidR="001234C7" w:rsidRDefault="001234C7" w:rsidP="001234C7">
      <w:pPr>
        <w:pStyle w:val="Body2"/>
      </w:pPr>
      <w:r>
        <w:t>Following registration:</w:t>
      </w:r>
    </w:p>
    <w:p w:rsidR="001234C7" w:rsidRDefault="001234C7" w:rsidP="001234C7">
      <w:pPr>
        <w:pStyle w:val="Body2"/>
      </w:pPr>
      <w:r>
        <w:t xml:space="preserve">The folio is cancelled and separate new folios are created for lot 1 and lot 2. Both </w:t>
      </w:r>
      <w:r w:rsidR="00034132">
        <w:t xml:space="preserve">CTs </w:t>
      </w:r>
      <w:r>
        <w:t>issue to Rogers &amp; Brown Lawyers, the lodging party of the transfer. Rogers &amp; Brown Lawyers should send the CT for lot 2, the parcel that remains in the original owner’s name, to Smith &amp; Jones Lawyers.</w:t>
      </w:r>
    </w:p>
    <w:p w:rsidR="001234C7" w:rsidRDefault="001234C7" w:rsidP="001234C7">
      <w:pPr>
        <w:pStyle w:val="Body2"/>
      </w:pPr>
      <w:r>
        <w:t xml:space="preserve">Note: Land Victoria suggests that in this situation, prior application be made under section 32 of the Transfer of Land Act for the creation of separate folios and therefore overcoming the need for a nomination. </w:t>
      </w:r>
    </w:p>
    <w:p w:rsidR="001234C7" w:rsidRDefault="00D66BD9" w:rsidP="001234C7">
      <w:pPr>
        <w:pStyle w:val="HB"/>
      </w:pPr>
      <w:bookmarkStart w:id="10" w:name="_Toc418605872"/>
      <w:r>
        <w:t>2</w:t>
      </w:r>
      <w:r w:rsidR="005522FF">
        <w:t xml:space="preserve">. </w:t>
      </w:r>
      <w:r w:rsidR="001234C7">
        <w:t>Transferring a parcel when the folio is mortgaged</w:t>
      </w:r>
      <w:bookmarkEnd w:id="10"/>
    </w:p>
    <w:p w:rsidR="001234C7" w:rsidRDefault="001234C7" w:rsidP="001234C7">
      <w:pPr>
        <w:pStyle w:val="Body2"/>
      </w:pPr>
      <w:r>
        <w:t xml:space="preserve">This scenario involves transferring lot 1 from a folio, which contains two transferable parcels – lots 1 and 2. The folio is mortgaged to Victoria Bank Ltd. The CT was previously nominated by Victoria Bank Ltd. A discharge of mortgage over lot 1, the parcel being transferred, is handed to the purchaser at settlement </w:t>
      </w:r>
      <w:r>
        <w:lastRenderedPageBreak/>
        <w:t>together with the transfer for lot 1. These are lodged on behalf of the purchaser by A1 First Choice Conveyancing. The discharge of mortgage is then processed, followed by the transfer.</w:t>
      </w:r>
    </w:p>
    <w:p w:rsidR="001234C7" w:rsidRDefault="001234C7" w:rsidP="001234C7">
      <w:pPr>
        <w:pStyle w:val="Body2"/>
      </w:pPr>
      <w:r>
        <w:t>Following registration:</w:t>
      </w:r>
    </w:p>
    <w:p w:rsidR="001234C7" w:rsidRDefault="001234C7" w:rsidP="001234C7">
      <w:pPr>
        <w:pStyle w:val="Body2"/>
      </w:pPr>
      <w:r>
        <w:t xml:space="preserve">The folio is cancelled and separate new folios are created for lot 1 and lot 2: the new CT for lot 1 in the purchaser’s name, which is no longer subject to a mortgage, issues to A1 First Choice Conveyancing, the lodging party of the transfer; the new CT for lot 2, which remains in the original owner's name and remains mortgaged, issues to Victoria Bank Ltd, the mortgagee and applicant cited in the nominating Administrative Notice for the parent CT. </w:t>
      </w:r>
    </w:p>
    <w:p w:rsidR="001234C7" w:rsidRDefault="00D66BD9" w:rsidP="001234C7">
      <w:pPr>
        <w:pStyle w:val="HB"/>
      </w:pPr>
      <w:bookmarkStart w:id="11" w:name="_Toc418605873"/>
      <w:r>
        <w:t>3</w:t>
      </w:r>
      <w:r w:rsidR="005522FF">
        <w:t xml:space="preserve">. </w:t>
      </w:r>
      <w:r w:rsidR="001234C7">
        <w:t>Plan of subdivision when the folio is mortgaged</w:t>
      </w:r>
      <w:bookmarkEnd w:id="11"/>
    </w:p>
    <w:p w:rsidR="001234C7" w:rsidRDefault="001234C7" w:rsidP="001234C7">
      <w:pPr>
        <w:pStyle w:val="Body2"/>
      </w:pPr>
      <w:r>
        <w:t xml:space="preserve">In this scenario the plan of subdivision is lodged against a folio mortgaged to Victoria Bank Ltd. The CT was previously nominated by Victoria Bank Ltd. An application to subdivide land is lodged by Smith &amp; Jones Lawyers. </w:t>
      </w:r>
    </w:p>
    <w:p w:rsidR="001234C7" w:rsidRDefault="001234C7" w:rsidP="001234C7">
      <w:pPr>
        <w:pStyle w:val="Body2"/>
      </w:pPr>
      <w:r>
        <w:t>Following registration:</w:t>
      </w:r>
    </w:p>
    <w:p w:rsidR="001234C7" w:rsidRDefault="001234C7" w:rsidP="001234C7">
      <w:pPr>
        <w:pStyle w:val="Body2"/>
      </w:pPr>
      <w:r>
        <w:t>The folio is cancelled and new folios are created for each lot on the plan. The new folios are subject to the existing mortgage and CTs issue to Victoria Bank Ltd, the mortgagee and applicant cited in the nominating Administrative Notice for the parent CT.</w:t>
      </w:r>
    </w:p>
    <w:p w:rsidR="001234C7" w:rsidRDefault="00D66BD9" w:rsidP="001234C7">
      <w:pPr>
        <w:pStyle w:val="HB"/>
      </w:pPr>
      <w:bookmarkStart w:id="12" w:name="_Toc418605874"/>
      <w:r>
        <w:t>4</w:t>
      </w:r>
      <w:r w:rsidR="005522FF">
        <w:t xml:space="preserve">. </w:t>
      </w:r>
      <w:r w:rsidR="001234C7">
        <w:t>Plan of subdivision with following transactions when the folio is mortgaged</w:t>
      </w:r>
      <w:bookmarkEnd w:id="12"/>
    </w:p>
    <w:p w:rsidR="001234C7" w:rsidRDefault="001234C7" w:rsidP="001234C7">
      <w:pPr>
        <w:pStyle w:val="Body2"/>
      </w:pPr>
      <w:r>
        <w:t xml:space="preserve">In this scenario a plan of subdivision is lodged against a folio mortgaged to Victoria Bank Ltd. The CT was previously nominated by Victoria Bank Ltd. An application to subdivide land is lodged by Smith &amp; Jones Lawyers. After the plan is lodged (but prior to registration) a discharge of mortgage, transfer and new mortgage are lodged by Australia Bank Ltd in respect of one of the new lots on the plan of subdivision. </w:t>
      </w:r>
    </w:p>
    <w:p w:rsidR="001234C7" w:rsidRDefault="001234C7" w:rsidP="001234C7">
      <w:pPr>
        <w:pStyle w:val="Body2"/>
      </w:pPr>
      <w:r>
        <w:t>Following registration:</w:t>
      </w:r>
    </w:p>
    <w:p w:rsidR="001234C7" w:rsidRDefault="001234C7" w:rsidP="001234C7">
      <w:pPr>
        <w:pStyle w:val="Body2"/>
      </w:pPr>
      <w:r>
        <w:t>The folio is cancelled and new folios are created for each lot on the plan. All folios are subject to the existing mortgage. The new CTs, except for the one transferred, issue to Victoria Bank Ltd, the mortgagee and applicant cited in the nominating Administrative Notice for the parent CT. The new CT for the transferred lot issues to Australia Bank Ltd, the lodging party of the new mortgage.</w:t>
      </w:r>
    </w:p>
    <w:p w:rsidR="001234C7" w:rsidRDefault="00D66BD9" w:rsidP="005522FF">
      <w:pPr>
        <w:pStyle w:val="HB"/>
        <w:ind w:left="284" w:hanging="284"/>
      </w:pPr>
      <w:bookmarkStart w:id="13" w:name="_Toc418605875"/>
      <w:r>
        <w:t>5</w:t>
      </w:r>
      <w:r w:rsidR="005522FF">
        <w:t xml:space="preserve">. </w:t>
      </w:r>
      <w:r w:rsidR="001234C7">
        <w:t xml:space="preserve">Section 35 plan of subdivision acquiring part of the land when the folio is </w:t>
      </w:r>
      <w:r w:rsidR="005522FF">
        <w:t xml:space="preserve">not </w:t>
      </w:r>
      <w:r w:rsidR="001234C7">
        <w:t>mortgaged</w:t>
      </w:r>
      <w:bookmarkEnd w:id="13"/>
    </w:p>
    <w:p w:rsidR="001234C7" w:rsidRDefault="001234C7" w:rsidP="001234C7">
      <w:pPr>
        <w:pStyle w:val="Body2"/>
      </w:pPr>
      <w:r>
        <w:t>In this scenario a plan of subdivision under section 35 of the Subdivision Act is lodged for the purposes of acquiring reserve no.1, being part of the land in a folio. The balance land of the folio is identified as lot 1 and is to remain in the name of the owner. The folio is not mortgaged.</w:t>
      </w:r>
    </w:p>
    <w:p w:rsidR="001234C7" w:rsidRDefault="001234C7" w:rsidP="001234C7">
      <w:pPr>
        <w:pStyle w:val="Body2"/>
      </w:pPr>
      <w:r>
        <w:t>The CT was previously nominated by Smith &amp; Jones Lawyers, who held the CT on behalf of the owner. The plan of subdivision is lodged on behalf of the acquiring authority by Rogers &amp; Brown Lawyers. A transfer is also lodged with the plan by Rogers &amp; Brown Lawyers to effect the transfer of reserve no.1 on the plan to the acquiring authority.</w:t>
      </w:r>
    </w:p>
    <w:p w:rsidR="001234C7" w:rsidRDefault="001234C7" w:rsidP="001234C7">
      <w:pPr>
        <w:pStyle w:val="Body2"/>
      </w:pPr>
      <w:r>
        <w:t>Following registration:</w:t>
      </w:r>
    </w:p>
    <w:p w:rsidR="001234C7" w:rsidRDefault="001234C7" w:rsidP="001234C7">
      <w:pPr>
        <w:pStyle w:val="Body2"/>
      </w:pPr>
      <w:r>
        <w:t xml:space="preserve">The folio is cancelled and two new folios are created for reserve no. 1 and lot 1. Neither folio is subject to mortgage and the </w:t>
      </w:r>
      <w:r w:rsidR="00034132">
        <w:t xml:space="preserve">CTs </w:t>
      </w:r>
      <w:r>
        <w:t>issue to Rogers &amp; Brown Lawyers, the lodging party of the plan of subdivision and transfer. Rogers &amp; Brown Lawyers should send the CT for lot 1, the parcel that remains in the original owner’s name, to Smith &amp; Jones Lawyers.</w:t>
      </w:r>
    </w:p>
    <w:p w:rsidR="001234C7" w:rsidRDefault="001234C7">
      <w:pPr>
        <w:rPr>
          <w:rFonts w:cs="Arial"/>
          <w:b/>
          <w:color w:val="228591"/>
          <w:sz w:val="28"/>
        </w:rPr>
      </w:pPr>
      <w:r>
        <w:br w:type="page"/>
      </w:r>
    </w:p>
    <w:p w:rsidR="001234C7" w:rsidRDefault="00D66BD9" w:rsidP="005522FF">
      <w:pPr>
        <w:pStyle w:val="HB"/>
        <w:ind w:left="284" w:hanging="284"/>
      </w:pPr>
      <w:bookmarkStart w:id="14" w:name="_Toc418605876"/>
      <w:r>
        <w:lastRenderedPageBreak/>
        <w:t>6</w:t>
      </w:r>
      <w:r w:rsidR="005522FF">
        <w:t xml:space="preserve">. </w:t>
      </w:r>
      <w:r w:rsidR="001234C7">
        <w:t>Section 35 plan of subdivision acquiring part of the land when the folio is mortgaged</w:t>
      </w:r>
      <w:bookmarkEnd w:id="14"/>
    </w:p>
    <w:p w:rsidR="001234C7" w:rsidRDefault="001234C7" w:rsidP="001234C7">
      <w:pPr>
        <w:pStyle w:val="Body2"/>
      </w:pPr>
      <w:r>
        <w:t>In this scenario a plan of subdivision under section 35 of the Subdivision Act 1988 is lodged for the purposes of acquiring reserve no.1, which is part of the land in a folio. The balance land of the folio is identified as lot 1 and is to remain in the name of the owner. The folio is mortgaged to Victoria Bank Ltd.</w:t>
      </w:r>
    </w:p>
    <w:p w:rsidR="001234C7" w:rsidRDefault="001234C7" w:rsidP="001234C7">
      <w:pPr>
        <w:pStyle w:val="Body2"/>
      </w:pPr>
      <w:r>
        <w:t xml:space="preserve">The CT was previously nominated by Victoria Bank Ltd. The plan of subdivision is lodged on behalf of the acquiring authority by Rogers &amp; Brown Lawyers. A transfer is also lodged with the plan by Rogers &amp; Brown Lawyers, to effect the transfer of reserve no.1 on the plan to the acquiring authority. </w:t>
      </w:r>
    </w:p>
    <w:p w:rsidR="001234C7" w:rsidRDefault="001234C7" w:rsidP="001234C7">
      <w:pPr>
        <w:pStyle w:val="Body2"/>
      </w:pPr>
      <w:r>
        <w:t>Following registration:</w:t>
      </w:r>
    </w:p>
    <w:p w:rsidR="001234C7" w:rsidRDefault="001234C7" w:rsidP="001234C7">
      <w:pPr>
        <w:pStyle w:val="Body2"/>
      </w:pPr>
      <w:r>
        <w:t>The folio is cancelled and two new folios are created for reserve no 1 and lot 1. Under the provisions of section 24(2) of the Subdivision Act, the new folio for reserve no.1 will not be subject to mortgage and the CT will issue to Rogers &amp; Brown Lawyers, the lodging party of the transfer. The new folio for lot 1 will be subject to the mortgage and the CT will issue to Victoria Bank Ltd, the mortgagee and applicant cited in the nominating Administrative Notice for the parent CT.</w:t>
      </w:r>
    </w:p>
    <w:p w:rsidR="001234C7" w:rsidRDefault="00D66BD9" w:rsidP="001234C7">
      <w:pPr>
        <w:pStyle w:val="HB"/>
      </w:pPr>
      <w:bookmarkStart w:id="15" w:name="_Toc418605877"/>
      <w:r>
        <w:t>7</w:t>
      </w:r>
      <w:r w:rsidR="005522FF">
        <w:t xml:space="preserve">. </w:t>
      </w:r>
      <w:r w:rsidR="001234C7">
        <w:t>Section 32A plan of subdivision when all folios are mortgaged</w:t>
      </w:r>
      <w:bookmarkEnd w:id="15"/>
    </w:p>
    <w:p w:rsidR="001234C7" w:rsidRDefault="001234C7" w:rsidP="001234C7">
      <w:pPr>
        <w:pStyle w:val="Body2"/>
      </w:pPr>
      <w:r>
        <w:t>In this scenario a plan of subdivision under section 32A of the Subdivision Act is lodged for the purposes of completely re-subdividing all the land in a subdivision affected by an owners corporation. All the folios are subject to mortgages to different mortgagees. Each mortgagee has previously nominated their respective CT. An application to subdivide the land is lodged by A1 First Choice Conveyancing.</w:t>
      </w:r>
    </w:p>
    <w:p w:rsidR="001234C7" w:rsidRDefault="001234C7" w:rsidP="001234C7">
      <w:pPr>
        <w:pStyle w:val="Body2"/>
      </w:pPr>
      <w:r>
        <w:t>Following registration:</w:t>
      </w:r>
    </w:p>
    <w:p w:rsidR="001234C7" w:rsidRDefault="001234C7" w:rsidP="001234C7">
      <w:pPr>
        <w:pStyle w:val="Body2"/>
      </w:pPr>
      <w:r>
        <w:t>Under the provisions of section 32A of the Subdivision Act, all new folios created from the plan issue free from the existing encumbrances, including the mortgages. All new CTs issue to A1 First Choice Conveyancing, the lodging party of the plan of subdivision.</w:t>
      </w:r>
    </w:p>
    <w:p w:rsidR="001234C7" w:rsidRDefault="001234C7" w:rsidP="001234C7">
      <w:pPr>
        <w:pStyle w:val="Body2"/>
      </w:pPr>
      <w:r>
        <w:t>Note: Land Victoria recommends new mortgages are lodged after lodgement but prior to the registration of the plan. The CTs will then issue to the lodging party of any new mortgage.</w:t>
      </w:r>
    </w:p>
    <w:p w:rsidR="001234C7" w:rsidRDefault="00D66BD9" w:rsidP="00F912DE">
      <w:pPr>
        <w:pStyle w:val="HB"/>
        <w:ind w:left="284" w:hanging="284"/>
      </w:pPr>
      <w:bookmarkStart w:id="16" w:name="_Toc418605878"/>
      <w:r>
        <w:t>8</w:t>
      </w:r>
      <w:r w:rsidR="005522FF">
        <w:t xml:space="preserve">. </w:t>
      </w:r>
      <w:r w:rsidR="001234C7">
        <w:t>Not in Common Ownership (NICO) plan of subdivision of two adjoining folios when one folio is mortgaged</w:t>
      </w:r>
      <w:bookmarkEnd w:id="16"/>
    </w:p>
    <w:p w:rsidR="001234C7" w:rsidRDefault="001234C7" w:rsidP="001234C7">
      <w:pPr>
        <w:pStyle w:val="Body2"/>
      </w:pPr>
      <w:r>
        <w:t xml:space="preserve">In this scenario a two lot plan of subdivision is lodged for the purpose of realigning the boundary that exists between two folios. The first folio is owned by Arthur Albert and mortgaged to Australia Bank Ltd. The second folio is owned by Bill Brown and is not mortgaged (see diagram 1 below). The first CT was previously nominated by Australia Bank Ltd. The second CT is lodged with the plan by A1 First Choice Conveyancing. </w:t>
      </w:r>
    </w:p>
    <w:p w:rsidR="001234C7" w:rsidRDefault="00574AF7" w:rsidP="00574AF7">
      <w:pPr>
        <w:pStyle w:val="Body2"/>
      </w:pPr>
      <w:r>
        <w:t>DIAGRAM 1</w:t>
      </w:r>
    </w:p>
    <w:p w:rsidR="001234C7" w:rsidRDefault="00E61F97" w:rsidP="001234C7">
      <w:pPr>
        <w:pStyle w:val="Body2"/>
      </w:pPr>
      <w:r w:rsidRPr="00E61F97">
        <w:rPr>
          <w:rFonts w:asciiTheme="minorHAnsi" w:eastAsiaTheme="minorHAnsi" w:hAnsiTheme="minorHAnsi" w:cstheme="minorBidi"/>
          <w:noProof/>
          <w:lang w:eastAsia="en-AU"/>
        </w:rPr>
        <mc:AlternateContent>
          <mc:Choice Requires="wpg">
            <w:drawing>
              <wp:anchor distT="0" distB="0" distL="114300" distR="114300" simplePos="0" relativeHeight="251639808" behindDoc="0" locked="0" layoutInCell="1" allowOverlap="1" wp14:anchorId="0C0DD5FD" wp14:editId="09D6F300">
                <wp:simplePos x="0" y="0"/>
                <wp:positionH relativeFrom="column">
                  <wp:posOffset>187960</wp:posOffset>
                </wp:positionH>
                <wp:positionV relativeFrom="paragraph">
                  <wp:posOffset>88900</wp:posOffset>
                </wp:positionV>
                <wp:extent cx="3195955" cy="2230755"/>
                <wp:effectExtent l="0" t="0" r="23495" b="0"/>
                <wp:wrapNone/>
                <wp:docPr id="2" name="Group 2"/>
                <wp:cNvGraphicFramePr/>
                <a:graphic xmlns:a="http://schemas.openxmlformats.org/drawingml/2006/main">
                  <a:graphicData uri="http://schemas.microsoft.com/office/word/2010/wordprocessingGroup">
                    <wpg:wgp>
                      <wpg:cNvGrpSpPr/>
                      <wpg:grpSpPr>
                        <a:xfrm>
                          <a:off x="0" y="0"/>
                          <a:ext cx="3195955" cy="2230755"/>
                          <a:chOff x="0" y="0"/>
                          <a:chExt cx="3196462" cy="2231175"/>
                        </a:xfrm>
                      </wpg:grpSpPr>
                      <wpg:grpSp>
                        <wpg:cNvPr id="3" name="Group 3"/>
                        <wpg:cNvGrpSpPr/>
                        <wpg:grpSpPr>
                          <a:xfrm>
                            <a:off x="396112" y="0"/>
                            <a:ext cx="2800350" cy="1781175"/>
                            <a:chOff x="0" y="0"/>
                            <a:chExt cx="2800350" cy="1781175"/>
                          </a:xfrm>
                        </wpg:grpSpPr>
                        <wps:wsp>
                          <wps:cNvPr id="4" name="Rectangle 4"/>
                          <wps:cNvSpPr/>
                          <wps:spPr>
                            <a:xfrm>
                              <a:off x="0" y="0"/>
                              <a:ext cx="1400175" cy="178117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00175" y="0"/>
                              <a:ext cx="1400175" cy="178117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Text Box 2"/>
                        <wps:cNvSpPr txBox="1">
                          <a:spLocks noChangeArrowheads="1"/>
                        </wps:cNvSpPr>
                        <wps:spPr bwMode="auto">
                          <a:xfrm>
                            <a:off x="475312" y="187200"/>
                            <a:ext cx="1133475" cy="1619250"/>
                          </a:xfrm>
                          <a:prstGeom prst="rect">
                            <a:avLst/>
                          </a:prstGeom>
                          <a:noFill/>
                          <a:ln w="9525">
                            <a:noFill/>
                            <a:miter lim="800000"/>
                            <a:headEnd/>
                            <a:tailEnd/>
                          </a:ln>
                        </wps:spPr>
                        <wps:txbx>
                          <w:txbxContent>
                            <w:p w:rsidR="00574AF7" w:rsidRPr="001D36BD" w:rsidRDefault="00574AF7" w:rsidP="00E61F97">
                              <w:pPr>
                                <w:jc w:val="center"/>
                              </w:pPr>
                              <w:r>
                                <w:t xml:space="preserve">First </w:t>
                              </w:r>
                              <w:r w:rsidRPr="001D36BD">
                                <w:t>folio owned by Arthur Albert</w:t>
                              </w:r>
                            </w:p>
                            <w:p w:rsidR="00574AF7" w:rsidRPr="001D36BD" w:rsidRDefault="00574AF7" w:rsidP="00E61F97">
                              <w:pPr>
                                <w:jc w:val="center"/>
                              </w:pPr>
                              <w:r w:rsidRPr="001D36BD">
                                <w:t>mortgaged to Australia Bank Ltd</w:t>
                              </w:r>
                            </w:p>
                            <w:p w:rsidR="00574AF7" w:rsidRPr="001D36BD" w:rsidRDefault="00574AF7" w:rsidP="00E61F97">
                              <w:pPr>
                                <w:jc w:val="center"/>
                              </w:pPr>
                            </w:p>
                            <w:p w:rsidR="00574AF7" w:rsidRPr="001D36BD" w:rsidRDefault="00574AF7" w:rsidP="00E61F97">
                              <w:pPr>
                                <w:jc w:val="center"/>
                              </w:pPr>
                              <w:r w:rsidRPr="001D36BD">
                                <w:t>10</w:t>
                              </w:r>
                            </w:p>
                          </w:txbxContent>
                        </wps:txbx>
                        <wps:bodyPr rot="0" vert="horz" wrap="square" lIns="91440" tIns="45720" rIns="91440" bIns="45720" anchor="t" anchorCtr="0">
                          <a:noAutofit/>
                        </wps:bodyPr>
                      </wps:wsp>
                      <wps:wsp>
                        <wps:cNvPr id="10" name="Text Box 2"/>
                        <wps:cNvSpPr txBox="1">
                          <a:spLocks noChangeArrowheads="1"/>
                        </wps:cNvSpPr>
                        <wps:spPr bwMode="auto">
                          <a:xfrm>
                            <a:off x="1922512" y="187200"/>
                            <a:ext cx="1133475" cy="1619250"/>
                          </a:xfrm>
                          <a:prstGeom prst="rect">
                            <a:avLst/>
                          </a:prstGeom>
                          <a:noFill/>
                          <a:ln w="9525">
                            <a:noFill/>
                            <a:miter lim="800000"/>
                            <a:headEnd/>
                            <a:tailEnd/>
                          </a:ln>
                        </wps:spPr>
                        <wps:txbx>
                          <w:txbxContent>
                            <w:p w:rsidR="00574AF7" w:rsidRDefault="00574AF7" w:rsidP="00E61F97">
                              <w:pPr>
                                <w:jc w:val="center"/>
                              </w:pPr>
                              <w:r>
                                <w:t>Second</w:t>
                              </w:r>
                              <w:r>
                                <w:rPr>
                                  <w:vertAlign w:val="superscript"/>
                                </w:rPr>
                                <w:t xml:space="preserve"> </w:t>
                              </w:r>
                              <w:r>
                                <w:t xml:space="preserve">folio owned by </w:t>
                              </w:r>
                              <w:r>
                                <w:br/>
                                <w:t>Bill Brown</w:t>
                              </w: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r>
                                <w:t>12</w:t>
                              </w:r>
                            </w:p>
                          </w:txbxContent>
                        </wps:txbx>
                        <wps:bodyPr rot="0" vert="horz" wrap="square" lIns="91440" tIns="45720" rIns="91440" bIns="45720" anchor="t" anchorCtr="0">
                          <a:noAutofit/>
                        </wps:bodyPr>
                      </wps:wsp>
                      <wps:wsp>
                        <wps:cNvPr id="11" name="Text Box 2"/>
                        <wps:cNvSpPr txBox="1">
                          <a:spLocks noChangeArrowheads="1"/>
                        </wps:cNvSpPr>
                        <wps:spPr bwMode="auto">
                          <a:xfrm rot="16200000">
                            <a:off x="-471488" y="658800"/>
                            <a:ext cx="1266825" cy="323850"/>
                          </a:xfrm>
                          <a:prstGeom prst="rect">
                            <a:avLst/>
                          </a:prstGeom>
                          <a:noFill/>
                          <a:ln w="9525">
                            <a:noFill/>
                            <a:miter lim="800000"/>
                            <a:headEnd/>
                            <a:tailEnd/>
                          </a:ln>
                        </wps:spPr>
                        <wps:txbx>
                          <w:txbxContent>
                            <w:p w:rsidR="00574AF7" w:rsidRDefault="00574AF7" w:rsidP="00E61F97">
                              <w:r>
                                <w:t>APPLE STREET</w:t>
                              </w:r>
                            </w:p>
                          </w:txbxContent>
                        </wps:txbx>
                        <wps:bodyPr rot="0" vert="horz" wrap="square" lIns="91440" tIns="45720" rIns="91440" bIns="45720" anchor="t" anchorCtr="0">
                          <a:noAutofit/>
                        </wps:bodyPr>
                      </wps:wsp>
                      <wps:wsp>
                        <wps:cNvPr id="12" name="Text Box 2"/>
                        <wps:cNvSpPr txBox="1">
                          <a:spLocks noChangeArrowheads="1"/>
                        </wps:cNvSpPr>
                        <wps:spPr bwMode="auto">
                          <a:xfrm>
                            <a:off x="972112" y="1821600"/>
                            <a:ext cx="1666875" cy="409575"/>
                          </a:xfrm>
                          <a:prstGeom prst="rect">
                            <a:avLst/>
                          </a:prstGeom>
                          <a:noFill/>
                          <a:ln w="9525">
                            <a:noFill/>
                            <a:miter lim="800000"/>
                            <a:headEnd/>
                            <a:tailEnd/>
                          </a:ln>
                        </wps:spPr>
                        <wps:txbx>
                          <w:txbxContent>
                            <w:p w:rsidR="00574AF7" w:rsidRDefault="00574AF7" w:rsidP="00E61F97">
                              <w:pPr>
                                <w:jc w:val="center"/>
                              </w:pPr>
                              <w:r>
                                <w:t>ORANGE STREET</w:t>
                              </w:r>
                            </w:p>
                          </w:txbxContent>
                        </wps:txbx>
                        <wps:bodyPr rot="0" vert="horz" wrap="square" lIns="91440" tIns="45720" rIns="91440" bIns="45720" anchor="t" anchorCtr="0">
                          <a:noAutofit/>
                        </wps:bodyPr>
                      </wps:wsp>
                    </wpg:wgp>
                  </a:graphicData>
                </a:graphic>
              </wp:anchor>
            </w:drawing>
          </mc:Choice>
          <mc:Fallback>
            <w:pict>
              <v:group id="Group 2" o:spid="_x0000_s1027" style="position:absolute;margin-left:14.8pt;margin-top:7pt;width:251.65pt;height:175.65pt;z-index:251639808" coordsize="31964,22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">
                <v:group id="Group 3" o:spid="_x0000_s1028" style="position:absolute;left:3961;width:28003;height:17811" coordsize="28003,17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029" style="position:absolute;width:14001;height:17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aTcIA&#10;AADaAAAADwAAAGRycy9kb3ducmV2LnhtbESPS4sCMRCE78L+h9CCN018IDJrFFkQFnYvPhD21k7a&#10;mcGkM0ziOPvvjSB4LKrqK2q57pwVLTWh8qxhPFIgiHNvKi40HA/b4QJEiMgGrWfS8E8B1quP3hIz&#10;4++8o3YfC5EgHDLUUMZYZ1KGvCSHYeRr4uRdfOMwJtkU0jR4T3Bn5USpuXRYcVoosaavkvLr/uY0&#10;7NTh9ON+p+rvrI6nsHX23G6s1oN+t/kEEamL7/Cr/W00zOB5Jd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ONpNwgAAANoAAAAPAAAAAAAAAAAAAAAAAJgCAABkcnMvZG93&#10;bnJldi54bWxQSwUGAAAAAAQABAD1AAAAhwMAAAAA&#10;" filled="f" strokecolor="windowText" strokeweight="1pt"/>
                  <v:rect id="Rectangle 8" o:spid="_x0000_s1030" style="position:absolute;left:14001;width:14002;height:17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XQSMAA&#10;AADaAAAADwAAAGRycy9kb3ducmV2LnhtbERPyWrDMBC9F/oPYgq9NVJTCMWNbEIgUGgvWTDkNram&#10;lok0MpbiuH9fHQI9Pt6+rmbvxERj7ANreF0oEMRtMD13Gk7H3cs7iJiQDbrApOGXIlTl48MaCxNu&#10;vKfpkDqRQzgWqMGmNBRSxtaSx7gIA3HmfsLoMWU4dtKMeMvh3smlUivpsefcYHGgraX2crh6DXt1&#10;rL/895s6N+pUx513zbRxWj8/zZsPEInm9C++uz+Nhrw1X8k3QJ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XQSMAAAADaAAAADwAAAAAAAAAAAAAAAACYAgAAZHJzL2Rvd25y&#10;ZXYueG1sUEsFBgAAAAAEAAQA9QAAAIUDAAAAAA==&#10;" filled="f" strokecolor="windowText" strokeweight="1pt"/>
                </v:group>
                <v:shape id="Text Box 2" o:spid="_x0000_s1031" type="#_x0000_t202" style="position:absolute;left:4753;top:1872;width:11334;height:1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574AF7" w:rsidRPr="001D36BD" w:rsidRDefault="00574AF7" w:rsidP="00E61F97">
                        <w:pPr>
                          <w:jc w:val="center"/>
                        </w:pPr>
                        <w:r>
                          <w:t xml:space="preserve">First </w:t>
                        </w:r>
                        <w:r w:rsidRPr="001D36BD">
                          <w:t>folio owned by Arthur Albert</w:t>
                        </w:r>
                      </w:p>
                      <w:p w:rsidR="00574AF7" w:rsidRPr="001D36BD" w:rsidRDefault="00574AF7" w:rsidP="00E61F97">
                        <w:pPr>
                          <w:jc w:val="center"/>
                        </w:pPr>
                        <w:r w:rsidRPr="001D36BD">
                          <w:t>mortgaged to Australia Bank Ltd</w:t>
                        </w:r>
                      </w:p>
                      <w:p w:rsidR="00574AF7" w:rsidRPr="001D36BD" w:rsidRDefault="00574AF7" w:rsidP="00E61F97">
                        <w:pPr>
                          <w:jc w:val="center"/>
                        </w:pPr>
                      </w:p>
                      <w:p w:rsidR="00574AF7" w:rsidRPr="001D36BD" w:rsidRDefault="00574AF7" w:rsidP="00E61F97">
                        <w:pPr>
                          <w:jc w:val="center"/>
                        </w:pPr>
                        <w:r w:rsidRPr="001D36BD">
                          <w:t>10</w:t>
                        </w:r>
                      </w:p>
                    </w:txbxContent>
                  </v:textbox>
                </v:shape>
                <v:shape id="Text Box 2" o:spid="_x0000_s1032" type="#_x0000_t202" style="position:absolute;left:19225;top:1872;width:11334;height:1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574AF7" w:rsidRDefault="00574AF7" w:rsidP="00E61F97">
                        <w:pPr>
                          <w:jc w:val="center"/>
                        </w:pPr>
                        <w:r>
                          <w:t>Second</w:t>
                        </w:r>
                        <w:r>
                          <w:rPr>
                            <w:vertAlign w:val="superscript"/>
                          </w:rPr>
                          <w:t xml:space="preserve"> </w:t>
                        </w:r>
                        <w:r>
                          <w:t xml:space="preserve">folio owned by </w:t>
                        </w:r>
                        <w:r>
                          <w:br/>
                          <w:t>Bill Brown</w:t>
                        </w: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r>
                          <w:t>12</w:t>
                        </w:r>
                      </w:p>
                    </w:txbxContent>
                  </v:textbox>
                </v:shape>
                <v:shape id="Text Box 2" o:spid="_x0000_s1033" type="#_x0000_t202" style="position:absolute;left:-4715;top:6588;width:12668;height:323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MZL0A&#10;AADbAAAADwAAAGRycy9kb3ducmV2LnhtbERPTYvCMBC9C/sfwix4EU1dUJZqFFdZ8Gp170MztsVm&#10;UppZ2/57Iwje5vE+Z73tXa3u1IbKs4H5LAFFnHtbcWHgcv6dfoMKgmyx9kwGBgqw3XyM1pha3/GJ&#10;7pkUKoZwSNFAKdKkWoe8JIdh5hviyF1961AibAttW+xiuKv1V5IstcOKY0OJDe1Lym/ZvzMgB6m8&#10;/ZskV3/qFj/DMQvaDcaMP/vdCpRQL2/xy320cf4cnr/EA/Tm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YSMZL0AAADbAAAADwAAAAAAAAAAAAAAAACYAgAAZHJzL2Rvd25yZXYu&#10;eG1sUEsFBgAAAAAEAAQA9QAAAIIDAAAAAA==&#10;" filled="f" stroked="f">
                  <v:textbox>
                    <w:txbxContent>
                      <w:p w:rsidR="00574AF7" w:rsidRDefault="00574AF7" w:rsidP="00E61F97">
                        <w:r>
                          <w:t>APPLE STREET</w:t>
                        </w:r>
                      </w:p>
                    </w:txbxContent>
                  </v:textbox>
                </v:shape>
                <v:shape id="Text Box 2" o:spid="_x0000_s1034" type="#_x0000_t202" style="position:absolute;left:9721;top:18216;width:16668;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574AF7" w:rsidRDefault="00574AF7" w:rsidP="00E61F97">
                        <w:pPr>
                          <w:jc w:val="center"/>
                        </w:pPr>
                        <w:r>
                          <w:t>ORANGE STREET</w:t>
                        </w:r>
                      </w:p>
                    </w:txbxContent>
                  </v:textbox>
                </v:shape>
              </v:group>
            </w:pict>
          </mc:Fallback>
        </mc:AlternateContent>
      </w: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574AF7" w:rsidP="00574AF7">
      <w:pPr>
        <w:pStyle w:val="Body2"/>
      </w:pPr>
      <w:r>
        <w:lastRenderedPageBreak/>
        <w:t>DIAGRAM 2</w:t>
      </w:r>
    </w:p>
    <w:p w:rsidR="00E61F97" w:rsidRDefault="0047768C" w:rsidP="001234C7">
      <w:pPr>
        <w:pStyle w:val="Body2"/>
      </w:pPr>
      <w:r>
        <w:rPr>
          <w:noProof/>
          <w:lang w:eastAsia="en-AU"/>
        </w:rPr>
        <mc:AlternateContent>
          <mc:Choice Requires="wpg">
            <w:drawing>
              <wp:anchor distT="0" distB="0" distL="114300" distR="114300" simplePos="0" relativeHeight="251654144" behindDoc="0" locked="0" layoutInCell="1" allowOverlap="1">
                <wp:simplePos x="0" y="0"/>
                <wp:positionH relativeFrom="column">
                  <wp:posOffset>137866</wp:posOffset>
                </wp:positionH>
                <wp:positionV relativeFrom="paragraph">
                  <wp:posOffset>121073</wp:posOffset>
                </wp:positionV>
                <wp:extent cx="5944299" cy="2893058"/>
                <wp:effectExtent l="0" t="0" r="0" b="3175"/>
                <wp:wrapNone/>
                <wp:docPr id="93" name="Group 93"/>
                <wp:cNvGraphicFramePr/>
                <a:graphic xmlns:a="http://schemas.openxmlformats.org/drawingml/2006/main">
                  <a:graphicData uri="http://schemas.microsoft.com/office/word/2010/wordprocessingGroup">
                    <wpg:wgp>
                      <wpg:cNvGrpSpPr/>
                      <wpg:grpSpPr>
                        <a:xfrm>
                          <a:off x="0" y="0"/>
                          <a:ext cx="5944299" cy="2893058"/>
                          <a:chOff x="0" y="0"/>
                          <a:chExt cx="5944299" cy="2893058"/>
                        </a:xfrm>
                      </wpg:grpSpPr>
                      <wps:wsp>
                        <wps:cNvPr id="59" name="Rectangle 59"/>
                        <wps:cNvSpPr/>
                        <wps:spPr>
                          <a:xfrm>
                            <a:off x="1569155" y="620889"/>
                            <a:ext cx="2800329" cy="1780858"/>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2"/>
                        <wps:cNvSpPr txBox="1">
                          <a:spLocks noChangeArrowheads="1"/>
                        </wps:cNvSpPr>
                        <wps:spPr bwMode="auto">
                          <a:xfrm rot="16200000">
                            <a:off x="773288" y="1360312"/>
                            <a:ext cx="1266600" cy="323848"/>
                          </a:xfrm>
                          <a:prstGeom prst="rect">
                            <a:avLst/>
                          </a:prstGeom>
                          <a:noFill/>
                          <a:ln w="9525">
                            <a:noFill/>
                            <a:miter lim="800000"/>
                            <a:headEnd/>
                            <a:tailEnd/>
                          </a:ln>
                        </wps:spPr>
                        <wps:txbx>
                          <w:txbxContent>
                            <w:p w:rsidR="00574AF7" w:rsidRDefault="00574AF7" w:rsidP="00E61F97">
                              <w:r>
                                <w:t>APPLE STREET</w:t>
                              </w:r>
                            </w:p>
                          </w:txbxContent>
                        </wps:txbx>
                        <wps:bodyPr rot="0" vert="horz" wrap="square" lIns="91440" tIns="45720" rIns="91440" bIns="45720" anchor="t" anchorCtr="0">
                          <a:noAutofit/>
                        </wps:bodyPr>
                      </wps:wsp>
                      <wps:wsp>
                        <wps:cNvPr id="62" name="Text Box 2"/>
                        <wps:cNvSpPr txBox="1">
                          <a:spLocks noChangeArrowheads="1"/>
                        </wps:cNvSpPr>
                        <wps:spPr bwMode="auto">
                          <a:xfrm>
                            <a:off x="2144888" y="2483556"/>
                            <a:ext cx="1666862" cy="409502"/>
                          </a:xfrm>
                          <a:prstGeom prst="rect">
                            <a:avLst/>
                          </a:prstGeom>
                          <a:noFill/>
                          <a:ln w="9525">
                            <a:noFill/>
                            <a:miter lim="800000"/>
                            <a:headEnd/>
                            <a:tailEnd/>
                          </a:ln>
                        </wps:spPr>
                        <wps:txbx>
                          <w:txbxContent>
                            <w:p w:rsidR="00574AF7" w:rsidRDefault="00574AF7" w:rsidP="00E61F97">
                              <w:pPr>
                                <w:jc w:val="center"/>
                              </w:pPr>
                              <w:r>
                                <w:t>ORANGE STREET</w:t>
                              </w:r>
                            </w:p>
                          </w:txbxContent>
                        </wps:txbx>
                        <wps:bodyPr rot="0" vert="horz" wrap="square" lIns="91440" tIns="45720" rIns="91440" bIns="45720" anchor="t" anchorCtr="0">
                          <a:noAutofit/>
                        </wps:bodyPr>
                      </wps:wsp>
                      <wps:wsp>
                        <wps:cNvPr id="63" name="Text Box 2"/>
                        <wps:cNvSpPr txBox="1">
                          <a:spLocks noChangeArrowheads="1"/>
                        </wps:cNvSpPr>
                        <wps:spPr bwMode="auto">
                          <a:xfrm>
                            <a:off x="1648177" y="790223"/>
                            <a:ext cx="1133466" cy="1618962"/>
                          </a:xfrm>
                          <a:prstGeom prst="rect">
                            <a:avLst/>
                          </a:prstGeom>
                          <a:noFill/>
                          <a:ln w="9525">
                            <a:noFill/>
                            <a:miter lim="800000"/>
                            <a:headEnd/>
                            <a:tailEnd/>
                          </a:ln>
                        </wps:spPr>
                        <wps:txbx>
                          <w:txbxContent>
                            <w:p w:rsidR="00574AF7" w:rsidRPr="001D36BD" w:rsidRDefault="00574AF7" w:rsidP="00E61F97">
                              <w:pPr>
                                <w:jc w:val="center"/>
                              </w:pPr>
                              <w:r>
                                <w:t>LOT 1</w:t>
                              </w: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Pr="001D36BD" w:rsidRDefault="00574AF7" w:rsidP="00E61F97">
                              <w:pPr>
                                <w:jc w:val="center"/>
                              </w:pPr>
                            </w:p>
                            <w:p w:rsidR="00574AF7" w:rsidRPr="001D36BD" w:rsidRDefault="00574AF7" w:rsidP="00E61F97">
                              <w:pPr>
                                <w:jc w:val="center"/>
                              </w:pPr>
                              <w:r w:rsidRPr="001D36BD">
                                <w:t>10</w:t>
                              </w:r>
                            </w:p>
                          </w:txbxContent>
                        </wps:txbx>
                        <wps:bodyPr rot="0" vert="horz" wrap="square" lIns="91440" tIns="45720" rIns="91440" bIns="45720" anchor="t" anchorCtr="0">
                          <a:noAutofit/>
                        </wps:bodyPr>
                      </wps:wsp>
                      <wps:wsp>
                        <wps:cNvPr id="64" name="Text Box 2"/>
                        <wps:cNvSpPr txBox="1">
                          <a:spLocks noChangeArrowheads="1"/>
                        </wps:cNvSpPr>
                        <wps:spPr bwMode="auto">
                          <a:xfrm>
                            <a:off x="3093155" y="790223"/>
                            <a:ext cx="1133466" cy="1618962"/>
                          </a:xfrm>
                          <a:prstGeom prst="rect">
                            <a:avLst/>
                          </a:prstGeom>
                          <a:noFill/>
                          <a:ln w="9525">
                            <a:noFill/>
                            <a:miter lim="800000"/>
                            <a:headEnd/>
                            <a:tailEnd/>
                          </a:ln>
                        </wps:spPr>
                        <wps:txbx>
                          <w:txbxContent>
                            <w:p w:rsidR="00574AF7" w:rsidRDefault="00574AF7" w:rsidP="00E61F97">
                              <w:pPr>
                                <w:jc w:val="center"/>
                              </w:pPr>
                              <w:r>
                                <w:t>LOT 2</w:t>
                              </w: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r>
                                <w:t>12</w:t>
                              </w:r>
                            </w:p>
                          </w:txbxContent>
                        </wps:txbx>
                        <wps:bodyPr rot="0" vert="horz" wrap="square" lIns="91440" tIns="45720" rIns="91440" bIns="45720" anchor="t" anchorCtr="0">
                          <a:noAutofit/>
                        </wps:bodyPr>
                      </wps:wsp>
                      <wps:wsp>
                        <wps:cNvPr id="66" name="Straight Arrow Connector 66"/>
                        <wps:cNvCnPr/>
                        <wps:spPr>
                          <a:xfrm flipH="1">
                            <a:off x="733777" y="903111"/>
                            <a:ext cx="1266815" cy="0"/>
                          </a:xfrm>
                          <a:prstGeom prst="straightConnector1">
                            <a:avLst/>
                          </a:prstGeom>
                          <a:noFill/>
                          <a:ln w="9525" cap="flat" cmpd="sng" algn="ctr">
                            <a:solidFill>
                              <a:srgbClr val="228591"/>
                            </a:solidFill>
                            <a:prstDash val="solid"/>
                            <a:tailEnd type="arrow"/>
                          </a:ln>
                          <a:effectLst/>
                        </wps:spPr>
                        <wps:bodyPr/>
                      </wps:wsp>
                      <wps:wsp>
                        <wps:cNvPr id="67" name="Text Box 67"/>
                        <wps:cNvSpPr txBox="1"/>
                        <wps:spPr>
                          <a:xfrm>
                            <a:off x="0" y="790223"/>
                            <a:ext cx="819144" cy="1779508"/>
                          </a:xfrm>
                          <a:prstGeom prst="rect">
                            <a:avLst/>
                          </a:prstGeom>
                          <a:noFill/>
                          <a:ln w="6350">
                            <a:noFill/>
                          </a:ln>
                          <a:effectLst/>
                        </wps:spPr>
                        <wps:txbx>
                          <w:txbxContent>
                            <w:p w:rsidR="00574AF7" w:rsidRPr="00910C89" w:rsidRDefault="00574AF7" w:rsidP="00E61F97">
                              <w:pPr>
                                <w:rPr>
                                  <w:sz w:val="20"/>
                                  <w:szCs w:val="20"/>
                                </w:rPr>
                              </w:pPr>
                              <w:r>
                                <w:rPr>
                                  <w:sz w:val="20"/>
                                  <w:szCs w:val="20"/>
                                </w:rPr>
                                <w:t>NICO folio owned by Arthur Albert and Bill Brown mortgaged to Australia Bank Ltd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Straight Arrow Connector 68"/>
                        <wps:cNvCnPr/>
                        <wps:spPr>
                          <a:xfrm flipH="1" flipV="1">
                            <a:off x="2325511" y="191911"/>
                            <a:ext cx="647695" cy="695201"/>
                          </a:xfrm>
                          <a:prstGeom prst="straightConnector1">
                            <a:avLst/>
                          </a:prstGeom>
                          <a:noFill/>
                          <a:ln w="9525" cap="flat" cmpd="sng" algn="ctr">
                            <a:solidFill>
                              <a:srgbClr val="228591"/>
                            </a:solidFill>
                            <a:prstDash val="solid"/>
                            <a:tailEnd type="arrow"/>
                          </a:ln>
                          <a:effectLst/>
                        </wps:spPr>
                        <wps:bodyPr/>
                      </wps:wsp>
                      <wps:wsp>
                        <wps:cNvPr id="69" name="Text Box 69"/>
                        <wps:cNvSpPr txBox="1"/>
                        <wps:spPr>
                          <a:xfrm>
                            <a:off x="1467555" y="0"/>
                            <a:ext cx="1714487" cy="371409"/>
                          </a:xfrm>
                          <a:prstGeom prst="rect">
                            <a:avLst/>
                          </a:prstGeom>
                          <a:noFill/>
                          <a:ln w="6350">
                            <a:noFill/>
                          </a:ln>
                          <a:effectLst/>
                        </wps:spPr>
                        <wps:txbx>
                          <w:txbxContent>
                            <w:p w:rsidR="00574AF7" w:rsidRPr="00910C89" w:rsidRDefault="00574AF7" w:rsidP="00E61F97">
                              <w:pPr>
                                <w:rPr>
                                  <w:sz w:val="20"/>
                                  <w:szCs w:val="20"/>
                                </w:rPr>
                              </w:pPr>
                              <w:r>
                                <w:rPr>
                                  <w:sz w:val="20"/>
                                  <w:szCs w:val="20"/>
                                </w:rPr>
                                <w:t>Original title boundary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Straight Arrow Connector 70"/>
                        <wps:cNvCnPr/>
                        <wps:spPr>
                          <a:xfrm>
                            <a:off x="3951111" y="903111"/>
                            <a:ext cx="1123941" cy="0"/>
                          </a:xfrm>
                          <a:prstGeom prst="straightConnector1">
                            <a:avLst/>
                          </a:prstGeom>
                          <a:noFill/>
                          <a:ln w="9525" cap="flat" cmpd="sng" algn="ctr">
                            <a:solidFill>
                              <a:srgbClr val="228591"/>
                            </a:solidFill>
                            <a:prstDash val="solid"/>
                            <a:tailEnd type="arrow"/>
                          </a:ln>
                          <a:effectLst/>
                        </wps:spPr>
                        <wps:bodyPr/>
                      </wps:wsp>
                      <wps:wsp>
                        <wps:cNvPr id="71" name="Text Box 71"/>
                        <wps:cNvSpPr txBox="1"/>
                        <wps:spPr>
                          <a:xfrm>
                            <a:off x="5125155" y="790223"/>
                            <a:ext cx="819144" cy="1901886"/>
                          </a:xfrm>
                          <a:prstGeom prst="rect">
                            <a:avLst/>
                          </a:prstGeom>
                          <a:noFill/>
                          <a:ln w="6350">
                            <a:noFill/>
                          </a:ln>
                          <a:effectLst/>
                        </wps:spPr>
                        <wps:txbx>
                          <w:txbxContent>
                            <w:p w:rsidR="00574AF7" w:rsidRPr="00910C89" w:rsidRDefault="00574AF7" w:rsidP="00E61F97">
                              <w:pPr>
                                <w:rPr>
                                  <w:sz w:val="20"/>
                                  <w:szCs w:val="20"/>
                                </w:rPr>
                              </w:pPr>
                              <w:r>
                                <w:rPr>
                                  <w:sz w:val="20"/>
                                  <w:szCs w:val="20"/>
                                </w:rPr>
                                <w:t>NICO folio owned by Arthur Albert and Bill Brown mortgaged to Australia Bank Ltd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93" o:spid="_x0000_s1035" style="position:absolute;margin-left:10.85pt;margin-top:9.55pt;width:468.05pt;height:227.8pt;z-index:251654144" coordsize="59442,28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">
                <v:rect id="Rectangle 59" o:spid="_x0000_s1036" style="position:absolute;left:15691;top:6208;width:28003;height:17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j+0MMA&#10;AADbAAAADwAAAGRycy9kb3ducmV2LnhtbESPQWsCMRSE7wX/Q3iCt5qoWNqtUUQQBL3oitDbc/O6&#10;uzR5WTZx3f77RhB6HGbmG2ax6p0VHbWh9qxhMlYgiAtvai41nPPt6zuIEJENWs+k4ZcCrJaDlwVm&#10;xt/5SN0pliJBOGSooYqxyaQMRUUOw9g3xMn79q3DmGRbStPiPcGdlVOl3qTDmtNChQ1tKip+Tjen&#10;4ajyy94dZurrqs6XsHX22q2t1qNhv/4EEamP/+Fne2c0zD/g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j+0MMAAADbAAAADwAAAAAAAAAAAAAAAACYAgAAZHJzL2Rv&#10;d25yZXYueG1sUEsFBgAAAAAEAAQA9QAAAIgDAAAAAA==&#10;" filled="f" strokecolor="windowText" strokeweight="1pt"/>
                <v:shape id="Text Box 2" o:spid="_x0000_s1037" type="#_x0000_t202" style="position:absolute;left:7733;top:13602;width:12666;height:323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L/GcAA&#10;AADbAAAADwAAAGRycy9kb3ducmV2LnhtbESPwYrCQBBE78L+w9CCF1knCsqSdRTXZcGrUe9Npk3C&#10;ZnpCpjXJ3zuC4LGoqlfUetu7Wt2pDZVnA/NZAoo497biwsD59Pf5BSoIssXaMxkYKMB28zFaY2p9&#10;x0e6Z1KoCOGQooFSpEm1DnlJDsPMN8TRu/rWoUTZFtq22EW4q/UiSVbaYcVxocSG9iXl/9nNGZBf&#10;qby9TJOrP3bLn+GQBe0GYybjfvcNSqiXd/jVPlgDqzk8v8Qfo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L/GcAAAADbAAAADwAAAAAAAAAAAAAAAACYAgAAZHJzL2Rvd25y&#10;ZXYueG1sUEsFBgAAAAAEAAQA9QAAAIUDAAAAAA==&#10;" filled="f" stroked="f">
                  <v:textbox>
                    <w:txbxContent>
                      <w:p w:rsidR="00574AF7" w:rsidRDefault="00574AF7" w:rsidP="00E61F97">
                        <w:r>
                          <w:t>APPLE STREET</w:t>
                        </w:r>
                      </w:p>
                    </w:txbxContent>
                  </v:textbox>
                </v:shape>
                <v:shape id="Text Box 2" o:spid="_x0000_s1038" type="#_x0000_t202" style="position:absolute;left:21448;top:24835;width:16669;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574AF7" w:rsidRDefault="00574AF7" w:rsidP="00E61F97">
                        <w:pPr>
                          <w:jc w:val="center"/>
                        </w:pPr>
                        <w:r>
                          <w:t>ORANGE STREET</w:t>
                        </w:r>
                      </w:p>
                    </w:txbxContent>
                  </v:textbox>
                </v:shape>
                <v:shape id="Text Box 2" o:spid="_x0000_s1039" type="#_x0000_t202" style="position:absolute;left:16481;top:7902;width:11335;height:16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574AF7" w:rsidRPr="001D36BD" w:rsidRDefault="00574AF7" w:rsidP="00E61F97">
                        <w:pPr>
                          <w:jc w:val="center"/>
                        </w:pPr>
                        <w:r>
                          <w:t>LOT 1</w:t>
                        </w: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Pr="001D36BD" w:rsidRDefault="00574AF7" w:rsidP="00E61F97">
                        <w:pPr>
                          <w:jc w:val="center"/>
                        </w:pPr>
                      </w:p>
                      <w:p w:rsidR="00574AF7" w:rsidRPr="001D36BD" w:rsidRDefault="00574AF7" w:rsidP="00E61F97">
                        <w:pPr>
                          <w:jc w:val="center"/>
                        </w:pPr>
                        <w:r w:rsidRPr="001D36BD">
                          <w:t>10</w:t>
                        </w:r>
                      </w:p>
                    </w:txbxContent>
                  </v:textbox>
                </v:shape>
                <v:shape id="Text Box 2" o:spid="_x0000_s1040" type="#_x0000_t202" style="position:absolute;left:30931;top:7902;width:11335;height:16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574AF7" w:rsidRDefault="00574AF7" w:rsidP="00E61F97">
                        <w:pPr>
                          <w:jc w:val="center"/>
                        </w:pPr>
                        <w:r>
                          <w:t>LOT 2</w:t>
                        </w: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p>
                      <w:p w:rsidR="00574AF7" w:rsidRDefault="00574AF7" w:rsidP="00E61F97">
                        <w:pPr>
                          <w:jc w:val="center"/>
                        </w:pPr>
                        <w:r>
                          <w:t>12</w:t>
                        </w:r>
                      </w:p>
                    </w:txbxContent>
                  </v:textbox>
                </v:shape>
                <v:shapetype id="_x0000_t32" coordsize="21600,21600" o:spt="32" o:oned="t" path="m,l21600,21600e" filled="f">
                  <v:path arrowok="t" fillok="f" o:connecttype="none"/>
                  <o:lock v:ext="edit" shapetype="t"/>
                </v:shapetype>
                <v:shape id="Straight Arrow Connector 66" o:spid="_x0000_s1041" type="#_x0000_t32" style="position:absolute;left:7337;top:9031;width:126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T1S8UAAADbAAAADwAAAGRycy9kb3ducmV2LnhtbESPQWvCQBSE70L/w/IKvUjd6CGW1FVs&#10;UCjoReOhx0f2NUmbfRt2V43+elcQPA4z8w0zW/SmFSdyvrGsYDxKQBCXVjdcKTgU6/cPED4ga2wt&#10;k4ILeVjMXwYzzLQ9845O+1CJCGGfoYI6hC6T0pc1GfQj2xFH79c6gyFKV0nt8BzhppWTJEmlwYbj&#10;Qo0d5TWV//ujUWAu7g/z7c/wsLzmX6u036yLfKrU22u//AQRqA/P8KP9rRWkKdy/xB8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6T1S8UAAADbAAAADwAAAAAAAAAA&#10;AAAAAAChAgAAZHJzL2Rvd25yZXYueG1sUEsFBgAAAAAEAAQA+QAAAJMDAAAAAA==&#10;" strokecolor="#228591">
                  <v:stroke endarrow="open"/>
                </v:shape>
                <v:shape id="Text Box 67" o:spid="_x0000_s1042" type="#_x0000_t202" style="position:absolute;top:7902;width:8191;height:177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xhsUA&#10;AADbAAAADwAAAGRycy9kb3ducmV2LnhtbESPQWvCQBSE74X+h+UJvdWNQqNEVwkBaSn2oPXi7Zl9&#10;JsHs2zS7TaK/3i0IPQ4z8w2zXA+mFh21rrKsYDKOQBDnVldcKDh8b17nIJxH1lhbJgVXcrBePT8t&#10;MdG25x11e1+IAGGXoILS+yaR0uUlGXRj2xAH72xbgz7ItpC6xT7ATS2nURRLgxWHhRIbykrKL/tf&#10;o+Az23zh7jQ181udvW/PafNzOL4p9TIa0gUIT4P/Dz/aH1pBPI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GGxQAAANsAAAAPAAAAAAAAAAAAAAAAAJgCAABkcnMv&#10;ZG93bnJldi54bWxQSwUGAAAAAAQABAD1AAAAigMAAAAA&#10;" filled="f" stroked="f" strokeweight=".5pt">
                  <v:textbox>
                    <w:txbxContent>
                      <w:p w:rsidR="00574AF7" w:rsidRPr="00910C89" w:rsidRDefault="00574AF7" w:rsidP="00E61F97">
                        <w:pPr>
                          <w:rPr>
                            <w:sz w:val="20"/>
                            <w:szCs w:val="20"/>
                          </w:rPr>
                        </w:pPr>
                        <w:r>
                          <w:rPr>
                            <w:sz w:val="20"/>
                            <w:szCs w:val="20"/>
                          </w:rPr>
                          <w:t>NICO folio owned by Arthur Albert and Bill Brown mortgaged to Australia Bank Ltd</w:t>
                        </w:r>
                      </w:p>
                    </w:txbxContent>
                  </v:textbox>
                </v:shape>
                <v:shape id="Straight Arrow Connector 68" o:spid="_x0000_s1043" type="#_x0000_t32" style="position:absolute;left:23255;top:1919;width:6477;height:695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W56L8AAADbAAAADwAAAGRycy9kb3ducmV2LnhtbERPTYvCMBC9L/gfwgh7WTTVQ1mqUbQg&#10;6EFYq96HZmyLzaQ0o3b/vTks7PHxvpfrwbXqSX1oPBuYTRNQxKW3DVcGLufd5BtUEGSLrWcy8EsB&#10;1qvRxxIz6198omchlYohHDI0UIt0mdahrMlhmPqOOHI33zuUCPtK2x5fMdy1ep4kqXbYcGyosaO8&#10;pvJePJyBe/GVp6Lzo5x+tuficE2uuLkY8zkeNgtQQoP8i//ce2sgjWPjl/gD9Oo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rW56L8AAADbAAAADwAAAAAAAAAAAAAAAACh&#10;AgAAZHJzL2Rvd25yZXYueG1sUEsFBgAAAAAEAAQA+QAAAI0DAAAAAA==&#10;" strokecolor="#228591">
                  <v:stroke endarrow="open"/>
                </v:shape>
                <v:shape id="Text Box 69" o:spid="_x0000_s1044" type="#_x0000_t202" style="position:absolute;left:14675;width:17145;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rsidR="00574AF7" w:rsidRPr="00910C89" w:rsidRDefault="00574AF7" w:rsidP="00E61F97">
                        <w:pPr>
                          <w:rPr>
                            <w:sz w:val="20"/>
                            <w:szCs w:val="20"/>
                          </w:rPr>
                        </w:pPr>
                        <w:r>
                          <w:rPr>
                            <w:sz w:val="20"/>
                            <w:szCs w:val="20"/>
                          </w:rPr>
                          <w:t>Original title boundary</w:t>
                        </w:r>
                      </w:p>
                    </w:txbxContent>
                  </v:textbox>
                </v:shape>
                <v:shape id="Straight Arrow Connector 70" o:spid="_x0000_s1045" type="#_x0000_t32" style="position:absolute;left:39511;top:9031;width:11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elsIAAADbAAAADwAAAGRycy9kb3ducmV2LnhtbERPTWsCMRC9C/0PYQrearaitt0axbUK&#10;gl5qLV6HzXSzdDNZk1TXf28OBY+P9z2dd7YRZ/KhdqzgeZCBIC6drrlScPhaP72CCBFZY+OYFFwp&#10;wHz20Jtirt2FP+m8j5VIIRxyVGBibHMpQ2nIYhi4ljhxP85bjAn6SmqPlxRuGznMsom0WHNqMNjS&#10;0lD5u/+zCugQss2xGNVFsdp9v30YfzqOt0r1H7vFO4hIXbyL/90breAlrU9f0g+Qs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GelsIAAADbAAAADwAAAAAAAAAAAAAA&#10;AAChAgAAZHJzL2Rvd25yZXYueG1sUEsFBgAAAAAEAAQA+QAAAJADAAAAAA==&#10;" strokecolor="#228591">
                  <v:stroke endarrow="open"/>
                </v:shape>
                <v:shape id="Text Box 71" o:spid="_x0000_s1046" type="#_x0000_t202" style="position:absolute;left:51251;top:7902;width:8191;height:19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574AF7" w:rsidRPr="00910C89" w:rsidRDefault="00574AF7" w:rsidP="00E61F97">
                        <w:pPr>
                          <w:rPr>
                            <w:sz w:val="20"/>
                            <w:szCs w:val="20"/>
                          </w:rPr>
                        </w:pPr>
                        <w:r>
                          <w:rPr>
                            <w:sz w:val="20"/>
                            <w:szCs w:val="20"/>
                          </w:rPr>
                          <w:t>NICO folio owned by Arthur Albert and Bill Brown mortgaged to Australia Bank Ltd</w:t>
                        </w:r>
                      </w:p>
                    </w:txbxContent>
                  </v:textbox>
                </v:shape>
              </v:group>
            </w:pict>
          </mc:Fallback>
        </mc:AlternateContent>
      </w:r>
    </w:p>
    <w:p w:rsidR="001234C7" w:rsidRDefault="001234C7" w:rsidP="001234C7">
      <w:pPr>
        <w:pStyle w:val="Body2"/>
      </w:pPr>
    </w:p>
    <w:p w:rsidR="00E61F97" w:rsidRDefault="00E61F97" w:rsidP="001234C7">
      <w:pPr>
        <w:pStyle w:val="Body2"/>
      </w:pPr>
    </w:p>
    <w:p w:rsidR="00E61F97" w:rsidRDefault="0047768C" w:rsidP="001234C7">
      <w:pPr>
        <w:pStyle w:val="Body2"/>
      </w:pPr>
      <w:r>
        <w:rPr>
          <w:noProof/>
          <w:lang w:eastAsia="en-AU"/>
        </w:rPr>
        <mc:AlternateContent>
          <mc:Choice Requires="wps">
            <w:drawing>
              <wp:anchor distT="0" distB="0" distL="114300" distR="114300" simplePos="0" relativeHeight="251642880" behindDoc="0" locked="0" layoutInCell="1" allowOverlap="1" wp14:anchorId="79A5F37B" wp14:editId="6E7AB150">
                <wp:simplePos x="0" y="0"/>
                <wp:positionH relativeFrom="column">
                  <wp:posOffset>3118643</wp:posOffset>
                </wp:positionH>
                <wp:positionV relativeFrom="paragraph">
                  <wp:posOffset>13723</wp:posOffset>
                </wp:positionV>
                <wp:extent cx="0" cy="1780858"/>
                <wp:effectExtent l="0" t="0" r="19050" b="10160"/>
                <wp:wrapNone/>
                <wp:docPr id="60" name="Straight Connector 60"/>
                <wp:cNvGraphicFramePr/>
                <a:graphic xmlns:a="http://schemas.openxmlformats.org/drawingml/2006/main">
                  <a:graphicData uri="http://schemas.microsoft.com/office/word/2010/wordprocessingShape">
                    <wps:wsp>
                      <wps:cNvCnPr/>
                      <wps:spPr>
                        <a:xfrm>
                          <a:off x="0" y="0"/>
                          <a:ext cx="0" cy="1780858"/>
                        </a:xfrm>
                        <a:prstGeom prst="line">
                          <a:avLst/>
                        </a:prstGeom>
                        <a:noFill/>
                        <a:ln w="9525" cap="flat" cmpd="sng" algn="ctr">
                          <a:solidFill>
                            <a:sysClr val="windowText" lastClr="000000"/>
                          </a:solidFill>
                          <a:prstDash val="lgDash"/>
                        </a:ln>
                        <a:effectLst/>
                      </wps:spPr>
                      <wps:bodyPr/>
                    </wps:wsp>
                  </a:graphicData>
                </a:graphic>
              </wp:anchor>
            </w:drawing>
          </mc:Choice>
          <mc:Fallback>
            <w:pict>
              <v:line id="Straight Connector 60"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45.55pt,1.1pt" to="245.55pt,1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" strokecolor="windowText">
                <v:stroke dashstyle="longDash"/>
              </v:line>
            </w:pict>
          </mc:Fallback>
        </mc:AlternateContent>
      </w:r>
      <w:r>
        <w:rPr>
          <w:noProof/>
          <w:lang w:eastAsia="en-AU"/>
        </w:rPr>
        <mc:AlternateContent>
          <mc:Choice Requires="wps">
            <w:drawing>
              <wp:anchor distT="0" distB="0" distL="114300" distR="114300" simplePos="0" relativeHeight="251648000" behindDoc="0" locked="0" layoutInCell="1" allowOverlap="1" wp14:anchorId="73F13F2C" wp14:editId="09117798">
                <wp:simplePos x="0" y="0"/>
                <wp:positionH relativeFrom="column">
                  <wp:posOffset>2650647</wp:posOffset>
                </wp:positionH>
                <wp:positionV relativeFrom="paragraph">
                  <wp:posOffset>13723</wp:posOffset>
                </wp:positionV>
                <wp:extent cx="1000117" cy="1780858"/>
                <wp:effectExtent l="0" t="0" r="29210" b="29210"/>
                <wp:wrapNone/>
                <wp:docPr id="65" name="Straight Connector 65"/>
                <wp:cNvGraphicFramePr/>
                <a:graphic xmlns:a="http://schemas.openxmlformats.org/drawingml/2006/main">
                  <a:graphicData uri="http://schemas.microsoft.com/office/word/2010/wordprocessingShape">
                    <wps:wsp>
                      <wps:cNvCnPr/>
                      <wps:spPr>
                        <a:xfrm flipH="1">
                          <a:off x="0" y="0"/>
                          <a:ext cx="1000117" cy="178085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65" o:spid="_x0000_s1026" style="position:absolute;flip:x;z-index:251648000;visibility:visible;mso-wrap-style:square;mso-wrap-distance-left:9pt;mso-wrap-distance-top:0;mso-wrap-distance-right:9pt;mso-wrap-distance-bottom:0;mso-position-horizontal:absolute;mso-position-horizontal-relative:text;mso-position-vertical:absolute;mso-position-vertical-relative:text" from="208.7pt,1.1pt" to="287.45pt,1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"/>
            </w:pict>
          </mc:Fallback>
        </mc:AlternateContent>
      </w: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r>
        <w:t>Following registration:</w:t>
      </w:r>
    </w:p>
    <w:p w:rsidR="001234C7" w:rsidRDefault="001234C7" w:rsidP="001234C7">
      <w:pPr>
        <w:pStyle w:val="Body2"/>
      </w:pPr>
      <w:r>
        <w:t>The boundary realignment results in two new folios for lots 1 and 2, registered in the names of both Arthur Albert and Bill Brown; both are partially subject to the mortgage to Australia Bank Ltd (see diagram 2 above).</w:t>
      </w:r>
    </w:p>
    <w:p w:rsidR="001234C7" w:rsidRDefault="001234C7" w:rsidP="001234C7">
      <w:pPr>
        <w:pStyle w:val="Body2"/>
      </w:pPr>
      <w:r>
        <w:t>As both new folios are subject to the Australia Bank Ltd mortgage, both CTs will issue to Australia Bank Ltd, the mortgagee and applicant cited in the nominating Administrative Notice for the first folio.</w:t>
      </w:r>
    </w:p>
    <w:p w:rsidR="001234C7" w:rsidRDefault="001234C7" w:rsidP="001234C7">
      <w:pPr>
        <w:pStyle w:val="Body2"/>
      </w:pPr>
      <w:r>
        <w:t>Note: to resolve both the creation of NICO folios and Australia Bank Ltd losing its power of sale if the mortgagor defaults, the discharge</w:t>
      </w:r>
      <w:r w:rsidR="00D66BD9">
        <w:t>s</w:t>
      </w:r>
      <w:r>
        <w:t xml:space="preserve"> of mortgage, transfers and new mortgage should be lodged at the same time as the NICO plan (if these documents are lodged, the lodging party of the last registered transaction against the folio will receive that new CT).</w:t>
      </w:r>
    </w:p>
    <w:p w:rsidR="001234C7" w:rsidRDefault="001234C7" w:rsidP="001234C7">
      <w:pPr>
        <w:pStyle w:val="Body2"/>
      </w:pPr>
      <w:r>
        <w:t>For further information refer to What is NICO? available on the Plans of subdivision and consolidation page at www.dtpli.vic.gov.au/property &gt;Land titles&gt;Plans of subdivision and consolidation.</w:t>
      </w:r>
    </w:p>
    <w:p w:rsidR="001234C7" w:rsidRDefault="00446B49" w:rsidP="005D473C">
      <w:pPr>
        <w:pStyle w:val="HB"/>
        <w:ind w:left="720" w:hanging="720"/>
      </w:pPr>
      <w:bookmarkStart w:id="17" w:name="_Toc418605879"/>
      <w:r>
        <w:t>9</w:t>
      </w:r>
      <w:r w:rsidR="005522FF">
        <w:t xml:space="preserve">. </w:t>
      </w:r>
      <w:r w:rsidR="001234C7">
        <w:t>NICO plan of subdivision of two adjoining folios when both folios are mortgaged</w:t>
      </w:r>
      <w:bookmarkEnd w:id="17"/>
    </w:p>
    <w:p w:rsidR="001234C7" w:rsidRDefault="001234C7" w:rsidP="001234C7">
      <w:pPr>
        <w:pStyle w:val="Body2"/>
      </w:pPr>
      <w:r>
        <w:t xml:space="preserve">In this scenario a two lot plan of subdivision is lodged for the purpose of realigning the boundary that exists between two folios. The first folio is owned by Arthur Albert, which was mortgaged in 1998 to Australia Bank Ltd. The second folio is owned by Bill Brown, which was mortgaged in 2010 to Victoria Bank Ltd (see diagram 3 below). </w:t>
      </w:r>
    </w:p>
    <w:p w:rsidR="001234C7" w:rsidRDefault="00574AF7" w:rsidP="00574AF7">
      <w:pPr>
        <w:pStyle w:val="Body2"/>
      </w:pPr>
      <w:r>
        <w:t>DIAGRAM 3</w:t>
      </w:r>
    </w:p>
    <w:p w:rsidR="001234C7" w:rsidRDefault="00D66BD9" w:rsidP="001234C7">
      <w:pPr>
        <w:pStyle w:val="Body2"/>
      </w:pPr>
      <w:r>
        <w:rPr>
          <w:rFonts w:asciiTheme="minorHAnsi" w:eastAsiaTheme="minorHAnsi" w:hAnsiTheme="minorHAnsi" w:cstheme="minorBidi"/>
          <w:noProof/>
          <w:lang w:eastAsia="en-AU"/>
        </w:rPr>
        <mc:AlternateContent>
          <mc:Choice Requires="wps">
            <w:drawing>
              <wp:anchor distT="0" distB="0" distL="114300" distR="114300" simplePos="0" relativeHeight="251671552" behindDoc="0" locked="0" layoutInCell="1" allowOverlap="1" wp14:anchorId="0F260C4C" wp14:editId="41B2696B">
                <wp:simplePos x="0" y="0"/>
                <wp:positionH relativeFrom="column">
                  <wp:posOffset>2135245</wp:posOffset>
                </wp:positionH>
                <wp:positionV relativeFrom="paragraph">
                  <wp:posOffset>49254</wp:posOffset>
                </wp:positionV>
                <wp:extent cx="0" cy="182880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0" cy="182880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68.15pt,3.9pt" to="168.15pt,1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" strokecolor="#795d9b [3047]"/>
            </w:pict>
          </mc:Fallback>
        </mc:AlternateContent>
      </w:r>
      <w:r w:rsidR="00E61F97" w:rsidRPr="00E61F97">
        <w:rPr>
          <w:rFonts w:asciiTheme="minorHAnsi" w:eastAsiaTheme="minorHAnsi" w:hAnsiTheme="minorHAnsi" w:cstheme="minorBidi"/>
          <w:noProof/>
          <w:lang w:eastAsia="en-AU"/>
        </w:rPr>
        <mc:AlternateContent>
          <mc:Choice Requires="wpg">
            <w:drawing>
              <wp:anchor distT="0" distB="0" distL="114300" distR="114300" simplePos="0" relativeHeight="251656192" behindDoc="0" locked="0" layoutInCell="1" allowOverlap="1" wp14:anchorId="5866ECB6" wp14:editId="7F93F26E">
                <wp:simplePos x="0" y="0"/>
                <wp:positionH relativeFrom="column">
                  <wp:posOffset>403860</wp:posOffset>
                </wp:positionH>
                <wp:positionV relativeFrom="paragraph">
                  <wp:posOffset>46496</wp:posOffset>
                </wp:positionV>
                <wp:extent cx="3131662" cy="2195175"/>
                <wp:effectExtent l="0" t="0" r="12065" b="0"/>
                <wp:wrapNone/>
                <wp:docPr id="72" name="Group 72"/>
                <wp:cNvGraphicFramePr/>
                <a:graphic xmlns:a="http://schemas.openxmlformats.org/drawingml/2006/main">
                  <a:graphicData uri="http://schemas.microsoft.com/office/word/2010/wordprocessingGroup">
                    <wpg:wgp>
                      <wpg:cNvGrpSpPr/>
                      <wpg:grpSpPr>
                        <a:xfrm>
                          <a:off x="0" y="0"/>
                          <a:ext cx="3131662" cy="2195175"/>
                          <a:chOff x="0" y="0"/>
                          <a:chExt cx="3131662" cy="2195175"/>
                        </a:xfrm>
                      </wpg:grpSpPr>
                      <wps:wsp>
                        <wps:cNvPr id="73" name="Rectangle 73"/>
                        <wps:cNvSpPr/>
                        <wps:spPr>
                          <a:xfrm>
                            <a:off x="331312" y="0"/>
                            <a:ext cx="2800350" cy="1781175"/>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Text Box 2"/>
                        <wps:cNvSpPr txBox="1">
                          <a:spLocks noChangeArrowheads="1"/>
                        </wps:cNvSpPr>
                        <wps:spPr bwMode="auto">
                          <a:xfrm rot="16200000">
                            <a:off x="-471488" y="666000"/>
                            <a:ext cx="1266825" cy="323850"/>
                          </a:xfrm>
                          <a:prstGeom prst="rect">
                            <a:avLst/>
                          </a:prstGeom>
                          <a:noFill/>
                          <a:ln w="9525">
                            <a:noFill/>
                            <a:miter lim="800000"/>
                            <a:headEnd/>
                            <a:tailEnd/>
                          </a:ln>
                        </wps:spPr>
                        <wps:txbx>
                          <w:txbxContent>
                            <w:p w:rsidR="00574AF7" w:rsidRDefault="00574AF7" w:rsidP="00E61F97">
                              <w:r>
                                <w:t>APPLE STREET</w:t>
                              </w:r>
                            </w:p>
                          </w:txbxContent>
                        </wps:txbx>
                        <wps:bodyPr rot="0" vert="horz" wrap="square" lIns="91440" tIns="45720" rIns="91440" bIns="45720" anchor="t" anchorCtr="0">
                          <a:noAutofit/>
                        </wps:bodyPr>
                      </wps:wsp>
                      <wps:wsp>
                        <wps:cNvPr id="75" name="Text Box 2"/>
                        <wps:cNvSpPr txBox="1">
                          <a:spLocks noChangeArrowheads="1"/>
                        </wps:cNvSpPr>
                        <wps:spPr bwMode="auto">
                          <a:xfrm>
                            <a:off x="892912" y="1785600"/>
                            <a:ext cx="1666875" cy="409575"/>
                          </a:xfrm>
                          <a:prstGeom prst="rect">
                            <a:avLst/>
                          </a:prstGeom>
                          <a:noFill/>
                          <a:ln w="9525">
                            <a:noFill/>
                            <a:miter lim="800000"/>
                            <a:headEnd/>
                            <a:tailEnd/>
                          </a:ln>
                        </wps:spPr>
                        <wps:txbx>
                          <w:txbxContent>
                            <w:p w:rsidR="00574AF7" w:rsidRDefault="00574AF7" w:rsidP="00E61F97">
                              <w:pPr>
                                <w:jc w:val="center"/>
                              </w:pPr>
                              <w:r>
                                <w:t>ORANGE STREET</w:t>
                              </w:r>
                            </w:p>
                          </w:txbxContent>
                        </wps:txbx>
                        <wps:bodyPr rot="0" vert="horz" wrap="square" lIns="91440" tIns="45720" rIns="91440" bIns="45720" anchor="t" anchorCtr="0">
                          <a:noAutofit/>
                        </wps:bodyPr>
                      </wps:wsp>
                      <wps:wsp>
                        <wps:cNvPr id="76" name="Text Box 2"/>
                        <wps:cNvSpPr txBox="1">
                          <a:spLocks noChangeArrowheads="1"/>
                        </wps:cNvSpPr>
                        <wps:spPr bwMode="auto">
                          <a:xfrm>
                            <a:off x="410512" y="108000"/>
                            <a:ext cx="1247775" cy="1619250"/>
                          </a:xfrm>
                          <a:prstGeom prst="rect">
                            <a:avLst/>
                          </a:prstGeom>
                          <a:noFill/>
                          <a:ln w="9525">
                            <a:noFill/>
                            <a:miter lim="800000"/>
                            <a:headEnd/>
                            <a:tailEnd/>
                          </a:ln>
                        </wps:spPr>
                        <wps:txbx>
                          <w:txbxContent>
                            <w:p w:rsidR="00574AF7" w:rsidRPr="001D36BD" w:rsidRDefault="00574AF7" w:rsidP="00E61F97">
                              <w:pPr>
                                <w:jc w:val="center"/>
                              </w:pPr>
                              <w:r>
                                <w:t xml:space="preserve">First </w:t>
                              </w:r>
                              <w:r w:rsidRPr="001D36BD">
                                <w:t xml:space="preserve">folio owned by </w:t>
                              </w:r>
                              <w:r>
                                <w:br/>
                              </w:r>
                              <w:r w:rsidRPr="001D36BD">
                                <w:t>Arthur Albert</w:t>
                              </w:r>
                            </w:p>
                            <w:p w:rsidR="00574AF7" w:rsidRDefault="00574AF7" w:rsidP="00E61F97">
                              <w:pPr>
                                <w:jc w:val="center"/>
                              </w:pPr>
                              <w:r w:rsidRPr="001D36BD">
                                <w:t>mortgaged to Australia Bank Ltd</w:t>
                              </w:r>
                              <w:r>
                                <w:t xml:space="preserve"> in 1988</w:t>
                              </w:r>
                            </w:p>
                            <w:p w:rsidR="00574AF7" w:rsidRPr="001D36BD" w:rsidRDefault="00574AF7" w:rsidP="00E61F97">
                              <w:pPr>
                                <w:jc w:val="center"/>
                              </w:pPr>
                            </w:p>
                            <w:p w:rsidR="00574AF7" w:rsidRPr="001D36BD" w:rsidRDefault="00574AF7" w:rsidP="00E61F97">
                              <w:pPr>
                                <w:jc w:val="center"/>
                              </w:pPr>
                              <w:r w:rsidRPr="001D36BD">
                                <w:t>10</w:t>
                              </w:r>
                            </w:p>
                          </w:txbxContent>
                        </wps:txbx>
                        <wps:bodyPr rot="0" vert="horz" wrap="square" lIns="91440" tIns="45720" rIns="91440" bIns="45720" anchor="t" anchorCtr="0">
                          <a:noAutofit/>
                        </wps:bodyPr>
                      </wps:wsp>
                      <wps:wsp>
                        <wps:cNvPr id="77" name="Text Box 2"/>
                        <wps:cNvSpPr txBox="1">
                          <a:spLocks noChangeArrowheads="1"/>
                        </wps:cNvSpPr>
                        <wps:spPr bwMode="auto">
                          <a:xfrm>
                            <a:off x="1807312" y="108000"/>
                            <a:ext cx="1276350" cy="1619250"/>
                          </a:xfrm>
                          <a:prstGeom prst="rect">
                            <a:avLst/>
                          </a:prstGeom>
                          <a:noFill/>
                          <a:ln w="9525">
                            <a:noFill/>
                            <a:miter lim="800000"/>
                            <a:headEnd/>
                            <a:tailEnd/>
                          </a:ln>
                        </wps:spPr>
                        <wps:txbx>
                          <w:txbxContent>
                            <w:p w:rsidR="00574AF7" w:rsidRDefault="00574AF7" w:rsidP="00E61F97">
                              <w:pPr>
                                <w:jc w:val="center"/>
                              </w:pPr>
                              <w:r>
                                <w:t xml:space="preserve">Second folio owned by </w:t>
                              </w:r>
                              <w:r>
                                <w:br/>
                                <w:t>Bill Brown</w:t>
                              </w:r>
                            </w:p>
                            <w:p w:rsidR="00574AF7" w:rsidRDefault="00574AF7" w:rsidP="00E61F97">
                              <w:pPr>
                                <w:jc w:val="center"/>
                              </w:pPr>
                              <w:r>
                                <w:t>mortgaged to Victoria Bank Ltd in 2010</w:t>
                              </w:r>
                            </w:p>
                            <w:p w:rsidR="00574AF7" w:rsidRDefault="00574AF7" w:rsidP="00E61F97">
                              <w:pPr>
                                <w:jc w:val="center"/>
                              </w:pPr>
                            </w:p>
                            <w:p w:rsidR="00574AF7" w:rsidRDefault="00574AF7" w:rsidP="00E61F97">
                              <w:pPr>
                                <w:jc w:val="center"/>
                              </w:pPr>
                              <w:r>
                                <w:t>12</w:t>
                              </w:r>
                            </w:p>
                          </w:txbxContent>
                        </wps:txbx>
                        <wps:bodyPr rot="0" vert="horz" wrap="square" lIns="91440" tIns="45720" rIns="91440" bIns="45720" anchor="t" anchorCtr="0">
                          <a:noAutofit/>
                        </wps:bodyPr>
                      </wps:wsp>
                    </wpg:wgp>
                  </a:graphicData>
                </a:graphic>
              </wp:anchor>
            </w:drawing>
          </mc:Choice>
          <mc:Fallback>
            <w:pict>
              <v:group id="Group 72" o:spid="_x0000_s1047" style="position:absolute;margin-left:31.8pt;margin-top:3.65pt;width:246.6pt;height:172.85pt;z-index:251656192" coordsize="31316,21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">
                <v:rect id="Rectangle 73" o:spid="_x0000_s1048" style="position:absolute;left:3313;width:28003;height:178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WVWsMA&#10;AADbAAAADwAAAGRycy9kb3ducmV2LnhtbESPT4vCMBTE7wv7HcJb8LYmrrBKNYosCIJe/IPg7dk8&#10;22LyUppY67ffCILHYWZ+w0znnbOipSZUnjUM+goEce5NxYWGw375PQYRIrJB65k0PCjAfPb5McXM&#10;+Dtvqd3FQiQIhww1lDHWmZQhL8lh6PuaOHkX3ziMSTaFNA3eE9xZ+aPUr3RYcVoosaa/kvLr7uY0&#10;bNX+uHaboTqd1eEYls6e24XVuvfVLSYgInXxHX61V0bDaAjPL+k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WVWsMAAADbAAAADwAAAAAAAAAAAAAAAACYAgAAZHJzL2Rv&#10;d25yZXYueG1sUEsFBgAAAAAEAAQA9QAAAIgDAAAAAA==&#10;" filled="f" strokecolor="windowText" strokeweight="1pt"/>
                <v:shape id="Text Box 2" o:spid="_x0000_s1049" type="#_x0000_t202" style="position:absolute;left:-4715;top:6660;width:12668;height:323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zKXMEA&#10;AADbAAAADwAAAGRycy9kb3ducmV2LnhtbESPQWvCQBSE7wX/w/KEXopuLK1KdBW1FLwa9f7IPpNg&#10;9m3IPk3y77uFQo/DzHzDrLe9q9WT2lB5NjCbJqCIc28rLgxczt+TJaggyBZrz2RgoADbzehljan1&#10;HZ/omUmhIoRDigZKkSbVOuQlOQxT3xBH7+ZbhxJlW2jbYhfhrtbvSTLXDiuOCyU2dCgpv2cPZ0C+&#10;pPL2+pbc/Kn73A/HLGg3GPM67ncrUEK9/If/2kdrYPEBv1/iD9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sylzBAAAA2wAAAA8AAAAAAAAAAAAAAAAAmAIAAGRycy9kb3du&#10;cmV2LnhtbFBLBQYAAAAABAAEAPUAAACGAwAAAAA=&#10;" filled="f" stroked="f">
                  <v:textbox>
                    <w:txbxContent>
                      <w:p w:rsidR="00574AF7" w:rsidRDefault="00574AF7" w:rsidP="00E61F97">
                        <w:r>
                          <w:t>APPLE STREET</w:t>
                        </w:r>
                      </w:p>
                    </w:txbxContent>
                  </v:textbox>
                </v:shape>
                <v:shape id="Text Box 2" o:spid="_x0000_s1050" type="#_x0000_t202" style="position:absolute;left:8929;top:17856;width:16668;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574AF7" w:rsidRDefault="00574AF7" w:rsidP="00E61F97">
                        <w:pPr>
                          <w:jc w:val="center"/>
                        </w:pPr>
                        <w:r>
                          <w:t>ORANGE STREET</w:t>
                        </w:r>
                      </w:p>
                    </w:txbxContent>
                  </v:textbox>
                </v:shape>
                <v:shape id="Text Box 2" o:spid="_x0000_s1051" type="#_x0000_t202" style="position:absolute;left:4105;top:1080;width:12477;height:1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rsidR="00574AF7" w:rsidRPr="001D36BD" w:rsidRDefault="00574AF7" w:rsidP="00E61F97">
                        <w:pPr>
                          <w:jc w:val="center"/>
                        </w:pPr>
                        <w:r>
                          <w:t xml:space="preserve">First </w:t>
                        </w:r>
                        <w:r w:rsidRPr="001D36BD">
                          <w:t xml:space="preserve">folio owned by </w:t>
                        </w:r>
                        <w:r>
                          <w:br/>
                        </w:r>
                        <w:r w:rsidRPr="001D36BD">
                          <w:t>Arthur Albert</w:t>
                        </w:r>
                      </w:p>
                      <w:p w:rsidR="00574AF7" w:rsidRDefault="00574AF7" w:rsidP="00E61F97">
                        <w:pPr>
                          <w:jc w:val="center"/>
                        </w:pPr>
                        <w:r w:rsidRPr="001D36BD">
                          <w:t>mortgaged to Australia Bank Ltd</w:t>
                        </w:r>
                        <w:r>
                          <w:t xml:space="preserve"> in 1988</w:t>
                        </w:r>
                      </w:p>
                      <w:p w:rsidR="00574AF7" w:rsidRPr="001D36BD" w:rsidRDefault="00574AF7" w:rsidP="00E61F97">
                        <w:pPr>
                          <w:jc w:val="center"/>
                        </w:pPr>
                      </w:p>
                      <w:p w:rsidR="00574AF7" w:rsidRPr="001D36BD" w:rsidRDefault="00574AF7" w:rsidP="00E61F97">
                        <w:pPr>
                          <w:jc w:val="center"/>
                        </w:pPr>
                        <w:r w:rsidRPr="001D36BD">
                          <w:t>10</w:t>
                        </w:r>
                      </w:p>
                    </w:txbxContent>
                  </v:textbox>
                </v:shape>
                <v:shape id="Text Box 2" o:spid="_x0000_s1052" type="#_x0000_t202" style="position:absolute;left:18073;top:1080;width:12763;height:16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574AF7" w:rsidRDefault="00574AF7" w:rsidP="00E61F97">
                        <w:pPr>
                          <w:jc w:val="center"/>
                        </w:pPr>
                        <w:r>
                          <w:t xml:space="preserve">Second folio owned by </w:t>
                        </w:r>
                        <w:r>
                          <w:br/>
                          <w:t>Bill Brown</w:t>
                        </w:r>
                      </w:p>
                      <w:p w:rsidR="00574AF7" w:rsidRDefault="00574AF7" w:rsidP="00E61F97">
                        <w:pPr>
                          <w:jc w:val="center"/>
                        </w:pPr>
                        <w:r>
                          <w:t>mortgaged to Victoria Bank Ltd in 2010</w:t>
                        </w:r>
                      </w:p>
                      <w:p w:rsidR="00574AF7" w:rsidRDefault="00574AF7" w:rsidP="00E61F97">
                        <w:pPr>
                          <w:jc w:val="center"/>
                        </w:pPr>
                      </w:p>
                      <w:p w:rsidR="00574AF7" w:rsidRDefault="00574AF7" w:rsidP="00E61F97">
                        <w:pPr>
                          <w:jc w:val="center"/>
                        </w:pPr>
                        <w:r>
                          <w:t>12</w:t>
                        </w:r>
                      </w:p>
                    </w:txbxContent>
                  </v:textbox>
                </v:shape>
              </v:group>
            </w:pict>
          </mc:Fallback>
        </mc:AlternateContent>
      </w: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r>
        <w:lastRenderedPageBreak/>
        <w:t>The boundary realignment will result in new folios for both lots 1 and 2, registered in the names of both Arthur Albert and Bill Brown; both are partially subject to the mortgages to Australia Bank Ltd and Victoria Bank Ltd (see diagram 4 below).</w:t>
      </w:r>
    </w:p>
    <w:p w:rsidR="001234C7" w:rsidRDefault="001234C7" w:rsidP="001234C7">
      <w:pPr>
        <w:pStyle w:val="Body2"/>
      </w:pPr>
      <w:r>
        <w:t xml:space="preserve">The first CT was previously nominated by Australia Bank Ltd. The second CT was previously nominated by Victoria Bank Ltd. </w:t>
      </w:r>
    </w:p>
    <w:p w:rsidR="001234C7" w:rsidRDefault="001234C7" w:rsidP="001234C7">
      <w:pPr>
        <w:pStyle w:val="Body2"/>
      </w:pPr>
      <w:r>
        <w:t>An application to subdivide the land is lodged by Rogers &amp; Brown Lawyers.</w:t>
      </w:r>
    </w:p>
    <w:p w:rsidR="001234C7" w:rsidRDefault="00574AF7" w:rsidP="00574AF7">
      <w:pPr>
        <w:pStyle w:val="Body2"/>
      </w:pPr>
      <w:r>
        <w:t>DIAGRAM 4</w:t>
      </w:r>
    </w:p>
    <w:p w:rsidR="001234C7" w:rsidRDefault="0047768C" w:rsidP="001234C7">
      <w:pPr>
        <w:pStyle w:val="Body2"/>
      </w:pPr>
      <w:r>
        <w:rPr>
          <w:noProof/>
          <w:lang w:eastAsia="en-AU"/>
        </w:rPr>
        <mc:AlternateContent>
          <mc:Choice Requires="wpg">
            <w:drawing>
              <wp:anchor distT="0" distB="0" distL="114300" distR="114300" simplePos="0" relativeHeight="251670528" behindDoc="0" locked="0" layoutInCell="1" allowOverlap="1">
                <wp:simplePos x="0" y="0"/>
                <wp:positionH relativeFrom="column">
                  <wp:posOffset>284621</wp:posOffset>
                </wp:positionH>
                <wp:positionV relativeFrom="paragraph">
                  <wp:posOffset>56868</wp:posOffset>
                </wp:positionV>
                <wp:extent cx="5944300" cy="2973967"/>
                <wp:effectExtent l="0" t="0" r="0" b="0"/>
                <wp:wrapNone/>
                <wp:docPr id="92" name="Group 92"/>
                <wp:cNvGraphicFramePr/>
                <a:graphic xmlns:a="http://schemas.openxmlformats.org/drawingml/2006/main">
                  <a:graphicData uri="http://schemas.microsoft.com/office/word/2010/wordprocessingGroup">
                    <wpg:wgp>
                      <wpg:cNvGrpSpPr/>
                      <wpg:grpSpPr>
                        <a:xfrm>
                          <a:off x="0" y="0"/>
                          <a:ext cx="5944300" cy="2973967"/>
                          <a:chOff x="0" y="0"/>
                          <a:chExt cx="5944300" cy="2973967"/>
                        </a:xfrm>
                      </wpg:grpSpPr>
                      <wps:wsp>
                        <wps:cNvPr id="79" name="Rectangle 79"/>
                        <wps:cNvSpPr/>
                        <wps:spPr>
                          <a:xfrm>
                            <a:off x="1569156" y="620889"/>
                            <a:ext cx="2800329" cy="178087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Text Box 2"/>
                        <wps:cNvSpPr txBox="1">
                          <a:spLocks noChangeArrowheads="1"/>
                        </wps:cNvSpPr>
                        <wps:spPr bwMode="auto">
                          <a:xfrm rot="16200000">
                            <a:off x="773289" y="1360311"/>
                            <a:ext cx="1266608" cy="323848"/>
                          </a:xfrm>
                          <a:prstGeom prst="rect">
                            <a:avLst/>
                          </a:prstGeom>
                          <a:noFill/>
                          <a:ln w="9525">
                            <a:noFill/>
                            <a:miter lim="800000"/>
                            <a:headEnd/>
                            <a:tailEnd/>
                          </a:ln>
                        </wps:spPr>
                        <wps:txbx>
                          <w:txbxContent>
                            <w:p w:rsidR="00574AF7" w:rsidRDefault="00574AF7" w:rsidP="009D11F6">
                              <w:r>
                                <w:t>APPLE STREET</w:t>
                              </w:r>
                            </w:p>
                          </w:txbxContent>
                        </wps:txbx>
                        <wps:bodyPr rot="0" vert="horz" wrap="square" lIns="91440" tIns="45720" rIns="91440" bIns="45720" anchor="t" anchorCtr="0">
                          <a:noAutofit/>
                        </wps:bodyPr>
                      </wps:wsp>
                      <wps:wsp>
                        <wps:cNvPr id="82" name="Text Box 2"/>
                        <wps:cNvSpPr txBox="1">
                          <a:spLocks noChangeArrowheads="1"/>
                        </wps:cNvSpPr>
                        <wps:spPr bwMode="auto">
                          <a:xfrm>
                            <a:off x="2144889" y="2483555"/>
                            <a:ext cx="1666862" cy="409505"/>
                          </a:xfrm>
                          <a:prstGeom prst="rect">
                            <a:avLst/>
                          </a:prstGeom>
                          <a:noFill/>
                          <a:ln w="9525">
                            <a:noFill/>
                            <a:miter lim="800000"/>
                            <a:headEnd/>
                            <a:tailEnd/>
                          </a:ln>
                        </wps:spPr>
                        <wps:txbx>
                          <w:txbxContent>
                            <w:p w:rsidR="00574AF7" w:rsidRDefault="00574AF7" w:rsidP="009D11F6">
                              <w:pPr>
                                <w:jc w:val="center"/>
                              </w:pPr>
                              <w:r>
                                <w:t>ORANGE STREET</w:t>
                              </w:r>
                            </w:p>
                          </w:txbxContent>
                        </wps:txbx>
                        <wps:bodyPr rot="0" vert="horz" wrap="square" lIns="91440" tIns="45720" rIns="91440" bIns="45720" anchor="t" anchorCtr="0">
                          <a:noAutofit/>
                        </wps:bodyPr>
                      </wps:wsp>
                      <wps:wsp>
                        <wps:cNvPr id="83" name="Text Box 2"/>
                        <wps:cNvSpPr txBox="1">
                          <a:spLocks noChangeArrowheads="1"/>
                        </wps:cNvSpPr>
                        <wps:spPr bwMode="auto">
                          <a:xfrm>
                            <a:off x="1648178" y="790222"/>
                            <a:ext cx="1133466" cy="1618973"/>
                          </a:xfrm>
                          <a:prstGeom prst="rect">
                            <a:avLst/>
                          </a:prstGeom>
                          <a:noFill/>
                          <a:ln w="9525">
                            <a:noFill/>
                            <a:miter lim="800000"/>
                            <a:headEnd/>
                            <a:tailEnd/>
                          </a:ln>
                        </wps:spPr>
                        <wps:txbx>
                          <w:txbxContent>
                            <w:p w:rsidR="00574AF7" w:rsidRPr="001D36BD" w:rsidRDefault="00574AF7" w:rsidP="009D11F6">
                              <w:pPr>
                                <w:jc w:val="center"/>
                              </w:pPr>
                              <w:r>
                                <w:t>LOT 1</w:t>
                              </w: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p w:rsidR="00574AF7" w:rsidRPr="001D36BD" w:rsidRDefault="00574AF7" w:rsidP="009D11F6">
                              <w:pPr>
                                <w:jc w:val="center"/>
                              </w:pPr>
                            </w:p>
                            <w:p w:rsidR="00574AF7" w:rsidRPr="001D36BD" w:rsidRDefault="00574AF7" w:rsidP="009D11F6">
                              <w:pPr>
                                <w:jc w:val="center"/>
                              </w:pPr>
                              <w:r w:rsidRPr="001D36BD">
                                <w:t>10</w:t>
                              </w:r>
                            </w:p>
                          </w:txbxContent>
                        </wps:txbx>
                        <wps:bodyPr rot="0" vert="horz" wrap="square" lIns="91440" tIns="45720" rIns="91440" bIns="45720" anchor="t" anchorCtr="0">
                          <a:noAutofit/>
                        </wps:bodyPr>
                      </wps:wsp>
                      <wps:wsp>
                        <wps:cNvPr id="84" name="Text Box 2"/>
                        <wps:cNvSpPr txBox="1">
                          <a:spLocks noChangeArrowheads="1"/>
                        </wps:cNvSpPr>
                        <wps:spPr bwMode="auto">
                          <a:xfrm>
                            <a:off x="3093156" y="790222"/>
                            <a:ext cx="1133466" cy="1618973"/>
                          </a:xfrm>
                          <a:prstGeom prst="rect">
                            <a:avLst/>
                          </a:prstGeom>
                          <a:noFill/>
                          <a:ln w="9525">
                            <a:noFill/>
                            <a:miter lim="800000"/>
                            <a:headEnd/>
                            <a:tailEnd/>
                          </a:ln>
                        </wps:spPr>
                        <wps:txbx>
                          <w:txbxContent>
                            <w:p w:rsidR="00574AF7" w:rsidRDefault="00574AF7" w:rsidP="009D11F6">
                              <w:pPr>
                                <w:jc w:val="center"/>
                              </w:pPr>
                              <w:r>
                                <w:t>LOT 2</w:t>
                              </w: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txbxContent>
                        </wps:txbx>
                        <wps:bodyPr rot="0" vert="horz" wrap="square" lIns="91440" tIns="45720" rIns="91440" bIns="45720" anchor="t" anchorCtr="0">
                          <a:noAutofit/>
                        </wps:bodyPr>
                      </wps:wsp>
                      <wps:wsp>
                        <wps:cNvPr id="86" name="Straight Arrow Connector 86"/>
                        <wps:cNvCnPr/>
                        <wps:spPr>
                          <a:xfrm flipH="1">
                            <a:off x="733778" y="903111"/>
                            <a:ext cx="1266815" cy="0"/>
                          </a:xfrm>
                          <a:prstGeom prst="straightConnector1">
                            <a:avLst/>
                          </a:prstGeom>
                          <a:noFill/>
                          <a:ln w="9525" cap="flat" cmpd="sng" algn="ctr">
                            <a:solidFill>
                              <a:srgbClr val="228591"/>
                            </a:solidFill>
                            <a:prstDash val="solid"/>
                            <a:tailEnd type="arrow"/>
                          </a:ln>
                          <a:effectLst/>
                        </wps:spPr>
                        <wps:bodyPr/>
                      </wps:wsp>
                      <wps:wsp>
                        <wps:cNvPr id="87" name="Text Box 87"/>
                        <wps:cNvSpPr txBox="1"/>
                        <wps:spPr>
                          <a:xfrm>
                            <a:off x="0" y="790222"/>
                            <a:ext cx="819144" cy="2021727"/>
                          </a:xfrm>
                          <a:prstGeom prst="rect">
                            <a:avLst/>
                          </a:prstGeom>
                          <a:noFill/>
                          <a:ln w="6350">
                            <a:noFill/>
                          </a:ln>
                          <a:effectLst/>
                        </wps:spPr>
                        <wps:txbx>
                          <w:txbxContent>
                            <w:p w:rsidR="00574AF7" w:rsidRPr="00910C89" w:rsidRDefault="00574AF7" w:rsidP="009D11F6">
                              <w:pPr>
                                <w:rPr>
                                  <w:sz w:val="20"/>
                                  <w:szCs w:val="20"/>
                                </w:rPr>
                              </w:pPr>
                              <w:r>
                                <w:rPr>
                                  <w:sz w:val="20"/>
                                  <w:szCs w:val="20"/>
                                </w:rPr>
                                <w:t>NICO folio owned by Arthur Albert and Bill Brown mortgaged to Australia Bank Ltd and Victoria Bank Ltd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Text Box 89"/>
                        <wps:cNvSpPr txBox="1"/>
                        <wps:spPr>
                          <a:xfrm>
                            <a:off x="1467556" y="0"/>
                            <a:ext cx="1714487" cy="371411"/>
                          </a:xfrm>
                          <a:prstGeom prst="rect">
                            <a:avLst/>
                          </a:prstGeom>
                          <a:noFill/>
                          <a:ln w="6350">
                            <a:noFill/>
                          </a:ln>
                          <a:effectLst/>
                        </wps:spPr>
                        <wps:txbx>
                          <w:txbxContent>
                            <w:p w:rsidR="00574AF7" w:rsidRPr="00910C89" w:rsidRDefault="00574AF7" w:rsidP="009D11F6">
                              <w:pPr>
                                <w:rPr>
                                  <w:sz w:val="20"/>
                                  <w:szCs w:val="20"/>
                                </w:rPr>
                              </w:pPr>
                              <w:r>
                                <w:rPr>
                                  <w:sz w:val="20"/>
                                  <w:szCs w:val="20"/>
                                </w:rPr>
                                <w:t>Original title boundary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Straight Arrow Connector 90"/>
                        <wps:cNvCnPr/>
                        <wps:spPr>
                          <a:xfrm>
                            <a:off x="3951111" y="903111"/>
                            <a:ext cx="1123941" cy="0"/>
                          </a:xfrm>
                          <a:prstGeom prst="straightConnector1">
                            <a:avLst/>
                          </a:prstGeom>
                          <a:noFill/>
                          <a:ln w="9525" cap="flat" cmpd="sng" algn="ctr">
                            <a:solidFill>
                              <a:srgbClr val="228591"/>
                            </a:solidFill>
                            <a:prstDash val="solid"/>
                            <a:tailEnd type="arrow"/>
                          </a:ln>
                          <a:effectLst/>
                        </wps:spPr>
                        <wps:bodyPr/>
                      </wps:wsp>
                      <wps:wsp>
                        <wps:cNvPr id="91" name="Text Box 91"/>
                        <wps:cNvSpPr txBox="1"/>
                        <wps:spPr>
                          <a:xfrm>
                            <a:off x="5125156" y="790222"/>
                            <a:ext cx="819144" cy="2183745"/>
                          </a:xfrm>
                          <a:prstGeom prst="rect">
                            <a:avLst/>
                          </a:prstGeom>
                          <a:noFill/>
                          <a:ln w="6350">
                            <a:noFill/>
                          </a:ln>
                          <a:effectLst/>
                        </wps:spPr>
                        <wps:txbx>
                          <w:txbxContent>
                            <w:p w:rsidR="00574AF7" w:rsidRPr="00910C89" w:rsidRDefault="00574AF7" w:rsidP="009D11F6">
                              <w:pPr>
                                <w:rPr>
                                  <w:sz w:val="20"/>
                                  <w:szCs w:val="20"/>
                                </w:rPr>
                              </w:pPr>
                              <w:r>
                                <w:rPr>
                                  <w:sz w:val="20"/>
                                  <w:szCs w:val="20"/>
                                </w:rPr>
                                <w:t>NICO folio owned by Arthur Albert and Bill Brown mortgaged to Australia Bank Ltd and Victoria Bank Ltd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92" o:spid="_x0000_s1053" style="position:absolute;margin-left:22.4pt;margin-top:4.5pt;width:468.05pt;height:234.15pt;z-index:251670528" coordsize="59443,29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">
                <v:rect id="Rectangle 79" o:spid="_x0000_s1054" style="position:absolute;left:15691;top:6208;width:28003;height:178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2isMMA&#10;AADbAAAADwAAAGRycy9kb3ducmV2LnhtbESPQWsCMRSE7wX/Q3iCt5qoYNutUUQQBL3oitDbc/O6&#10;uzR5WTZx3f77RhB6HGbmG2ax6p0VHbWh9qxhMlYgiAtvai41nPPt6zuIEJENWs+k4ZcCrJaDlwVm&#10;xt/5SN0pliJBOGSooYqxyaQMRUUOw9g3xMn79q3DmGRbStPiPcGdlVOl5tJhzWmhwoY2FRU/p5vT&#10;cFT5Ze8OM/V1VedL2Dp77dZW69GwX3+CiNTH//CzvTMa3j7g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2isMMAAADbAAAADwAAAAAAAAAAAAAAAACYAgAAZHJzL2Rv&#10;d25yZXYueG1sUEsFBgAAAAAEAAQA9QAAAIgDAAAAAA==&#10;" filled="f" strokecolor="windowText" strokeweight="1pt"/>
                <v:shape id="Text Box 2" o:spid="_x0000_s1055" type="#_x0000_t202" style="position:absolute;left:7733;top:13602;width:12666;height:323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4Z48EA&#10;AADbAAAADwAAAGRycy9kb3ducmV2LnhtbESPzWrDMBCE74W8g9hALqWRHWgJbpTQtAR8tdveF2tj&#10;m1orY2388/ZRodDjMDPfMIfT7Do10hBazwbSbQKKuPK25drA1+flaQ8qCLLFzjMZWCjA6bh6OGBm&#10;/cQFjaXUKkI4ZGigEekzrUPVkMOw9T1x9K5+cChRDrW2A04R7jq9S5IX7bDluNBgT+8NVT/lzRmQ&#10;D2m9/X5Mrr6Yns9LXgbtFmM26/ntFZTQLP/hv3ZuDexT+P0Sf4A+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OGePBAAAA2wAAAA8AAAAAAAAAAAAAAAAAmAIAAGRycy9kb3du&#10;cmV2LnhtbFBLBQYAAAAABAAEAPUAAACGAwAAAAA=&#10;" filled="f" stroked="f">
                  <v:textbox>
                    <w:txbxContent>
                      <w:p w:rsidR="00574AF7" w:rsidRDefault="00574AF7" w:rsidP="009D11F6">
                        <w:r>
                          <w:t>APPLE STREET</w:t>
                        </w:r>
                      </w:p>
                    </w:txbxContent>
                  </v:textbox>
                </v:shape>
                <v:shape id="Text Box 2" o:spid="_x0000_s1056" type="#_x0000_t202" style="position:absolute;left:21448;top:24835;width:16669;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574AF7" w:rsidRDefault="00574AF7" w:rsidP="009D11F6">
                        <w:pPr>
                          <w:jc w:val="center"/>
                        </w:pPr>
                        <w:r>
                          <w:t>ORANGE STREET</w:t>
                        </w:r>
                      </w:p>
                    </w:txbxContent>
                  </v:textbox>
                </v:shape>
                <v:shape id="Text Box 2" o:spid="_x0000_s1057" type="#_x0000_t202" style="position:absolute;left:16481;top:7902;width:11335;height:16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574AF7" w:rsidRPr="001D36BD" w:rsidRDefault="00574AF7" w:rsidP="009D11F6">
                        <w:pPr>
                          <w:jc w:val="center"/>
                        </w:pPr>
                        <w:r>
                          <w:t>LOT 1</w:t>
                        </w: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p w:rsidR="00574AF7" w:rsidRPr="001D36BD" w:rsidRDefault="00574AF7" w:rsidP="009D11F6">
                        <w:pPr>
                          <w:jc w:val="center"/>
                        </w:pPr>
                      </w:p>
                      <w:p w:rsidR="00574AF7" w:rsidRPr="001D36BD" w:rsidRDefault="00574AF7" w:rsidP="009D11F6">
                        <w:pPr>
                          <w:jc w:val="center"/>
                        </w:pPr>
                        <w:r w:rsidRPr="001D36BD">
                          <w:t>10</w:t>
                        </w:r>
                      </w:p>
                    </w:txbxContent>
                  </v:textbox>
                </v:shape>
                <v:shape id="Text Box 2" o:spid="_x0000_s1058" type="#_x0000_t202" style="position:absolute;left:30931;top:7902;width:11335;height:16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574AF7" w:rsidRDefault="00574AF7" w:rsidP="009D11F6">
                        <w:pPr>
                          <w:jc w:val="center"/>
                        </w:pPr>
                        <w:r>
                          <w:t>LOT 2</w:t>
                        </w: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p w:rsidR="00574AF7" w:rsidRDefault="00574AF7" w:rsidP="009D11F6">
                        <w:pPr>
                          <w:jc w:val="center"/>
                        </w:pPr>
                      </w:p>
                    </w:txbxContent>
                  </v:textbox>
                </v:shape>
                <v:shape id="Straight Arrow Connector 86" o:spid="_x0000_s1059" type="#_x0000_t32" style="position:absolute;left:7337;top:9031;width:1266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gTscUAAADbAAAADwAAAGRycy9kb3ducmV2LnhtbESPQWvCQBSE70L/w/IKXqRu9JCG1FVs&#10;UBD0UvXQ4yP7TGKzb8PuqtFf7xYKPQ4z8w0zW/SmFVdyvrGsYDJOQBCXVjdcKTge1m8ZCB+QNbaW&#10;ScGdPCzmL4MZ5tre+Iuu+1CJCGGfo4I6hC6X0pc1GfRj2xFH72SdwRClq6R2eItw08ppkqTSYMNx&#10;ocaOiprKn/3FKDB3d8Zi9z06Lh/F5yrtt+tD8a7U8LVffoAI1If/8F97oxVkKfx+iT9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gTscUAAADbAAAADwAAAAAAAAAA&#10;AAAAAAChAgAAZHJzL2Rvd25yZXYueG1sUEsFBgAAAAAEAAQA+QAAAJMDAAAAAA==&#10;" strokecolor="#228591">
                  <v:stroke endarrow="open"/>
                </v:shape>
                <v:shape id="Text Box 87" o:spid="_x0000_s1060" type="#_x0000_t202" style="position:absolute;top:7902;width:8191;height:20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rsidR="00574AF7" w:rsidRPr="00910C89" w:rsidRDefault="00574AF7" w:rsidP="009D11F6">
                        <w:pPr>
                          <w:rPr>
                            <w:sz w:val="20"/>
                            <w:szCs w:val="20"/>
                          </w:rPr>
                        </w:pPr>
                        <w:r>
                          <w:rPr>
                            <w:sz w:val="20"/>
                            <w:szCs w:val="20"/>
                          </w:rPr>
                          <w:t>NICO folio owned by Arthur Albert and Bill Brown mortgaged to Australia Bank Ltd and Victoria Bank Ltd</w:t>
                        </w:r>
                      </w:p>
                    </w:txbxContent>
                  </v:textbox>
                </v:shape>
                <v:shape id="Text Box 89" o:spid="_x0000_s1061" type="#_x0000_t202" style="position:absolute;left:14675;width:17145;height:3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rsidR="00574AF7" w:rsidRPr="00910C89" w:rsidRDefault="00574AF7" w:rsidP="009D11F6">
                        <w:pPr>
                          <w:rPr>
                            <w:sz w:val="20"/>
                            <w:szCs w:val="20"/>
                          </w:rPr>
                        </w:pPr>
                        <w:r>
                          <w:rPr>
                            <w:sz w:val="20"/>
                            <w:szCs w:val="20"/>
                          </w:rPr>
                          <w:t>Original title boundary</w:t>
                        </w:r>
                      </w:p>
                    </w:txbxContent>
                  </v:textbox>
                </v:shape>
                <v:shape id="Straight Arrow Connector 90" o:spid="_x0000_s1062" type="#_x0000_t32" style="position:absolute;left:39511;top:9031;width:112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4bMEAAADbAAAADwAAAGRycy9kb3ducmV2LnhtbERPz2vCMBS+C/sfwhvspulkjlmNsm4T&#10;hHmxU7w+mmdTbF5qkmn33y8HwePH93u+7G0rLuRD41jB8ygDQVw53XCtYPezGr6BCBFZY+uYFPxR&#10;gOXiYTDHXLsrb+lSxlqkEA45KjAxdrmUoTJkMYxcR5y4o/MWY4K+ltrjNYXbVo6z7FVabDg1GOzo&#10;w1B1Kn+tAtqFbH0oXpqi+Nrsp5/Gnw+Tb6WeHvv3GYhIfbyLb+61VjBN69OX9AP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XhswQAAANsAAAAPAAAAAAAAAAAAAAAA&#10;AKECAABkcnMvZG93bnJldi54bWxQSwUGAAAAAAQABAD5AAAAjwMAAAAA&#10;" strokecolor="#228591">
                  <v:stroke endarrow="open"/>
                </v:shape>
                <v:shape id="Text Box 91" o:spid="_x0000_s1063" type="#_x0000_t202" style="position:absolute;left:51251;top:7902;width:8192;height:218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rsidR="00574AF7" w:rsidRPr="00910C89" w:rsidRDefault="00574AF7" w:rsidP="009D11F6">
                        <w:pPr>
                          <w:rPr>
                            <w:sz w:val="20"/>
                            <w:szCs w:val="20"/>
                          </w:rPr>
                        </w:pPr>
                        <w:r>
                          <w:rPr>
                            <w:sz w:val="20"/>
                            <w:szCs w:val="20"/>
                          </w:rPr>
                          <w:t>NICO folio owned by Arthur Albert and Bill Brown mortgaged to Australia Bank Ltd and Victoria Bank Ltd</w:t>
                        </w:r>
                      </w:p>
                    </w:txbxContent>
                  </v:textbox>
                </v:shape>
              </v:group>
            </w:pict>
          </mc:Fallback>
        </mc:AlternateContent>
      </w:r>
    </w:p>
    <w:p w:rsidR="001234C7" w:rsidRDefault="0047768C" w:rsidP="001234C7">
      <w:pPr>
        <w:pStyle w:val="Body2"/>
      </w:pPr>
      <w:r>
        <w:rPr>
          <w:noProof/>
          <w:lang w:eastAsia="en-AU"/>
        </w:rPr>
        <mc:AlternateContent>
          <mc:Choice Requires="wps">
            <w:drawing>
              <wp:anchor distT="0" distB="0" distL="114300" distR="114300" simplePos="0" relativeHeight="251667456" behindDoc="0" locked="0" layoutInCell="1" allowOverlap="1" wp14:anchorId="34AD4A91" wp14:editId="771279A9">
                <wp:simplePos x="0" y="0"/>
                <wp:positionH relativeFrom="column">
                  <wp:posOffset>2617403</wp:posOffset>
                </wp:positionH>
                <wp:positionV relativeFrom="paragraph">
                  <wp:posOffset>9300</wp:posOffset>
                </wp:positionV>
                <wp:extent cx="647695" cy="695206"/>
                <wp:effectExtent l="38100" t="38100" r="19685" b="29210"/>
                <wp:wrapNone/>
                <wp:docPr id="88" name="Straight Arrow Connector 88"/>
                <wp:cNvGraphicFramePr/>
                <a:graphic xmlns:a="http://schemas.openxmlformats.org/drawingml/2006/main">
                  <a:graphicData uri="http://schemas.microsoft.com/office/word/2010/wordprocessingShape">
                    <wps:wsp>
                      <wps:cNvCnPr/>
                      <wps:spPr>
                        <a:xfrm flipH="1" flipV="1">
                          <a:off x="0" y="0"/>
                          <a:ext cx="647695" cy="695206"/>
                        </a:xfrm>
                        <a:prstGeom prst="straightConnector1">
                          <a:avLst/>
                        </a:prstGeom>
                        <a:noFill/>
                        <a:ln w="9525" cap="flat" cmpd="sng" algn="ctr">
                          <a:solidFill>
                            <a:srgbClr val="228591"/>
                          </a:solidFill>
                          <a:prstDash val="solid"/>
                          <a:tailEnd type="arrow"/>
                        </a:ln>
                        <a:effectLst/>
                      </wps:spPr>
                      <wps:bodyPr/>
                    </wps:wsp>
                  </a:graphicData>
                </a:graphic>
              </wp:anchor>
            </w:drawing>
          </mc:Choice>
          <mc:Fallback>
            <w:pict>
              <v:shape id="Straight Arrow Connector 88" o:spid="_x0000_s1026" type="#_x0000_t32" style="position:absolute;margin-left:206.1pt;margin-top:.75pt;width:51pt;height:54.75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" strokecolor="#228591">
                <v:stroke endarrow="open"/>
              </v:shape>
            </w:pict>
          </mc:Fallback>
        </mc:AlternateContent>
      </w:r>
    </w:p>
    <w:p w:rsidR="001234C7" w:rsidRDefault="0047768C" w:rsidP="001234C7">
      <w:pPr>
        <w:pStyle w:val="Body2"/>
      </w:pPr>
      <w:r>
        <w:rPr>
          <w:noProof/>
          <w:lang w:eastAsia="en-AU"/>
        </w:rPr>
        <mc:AlternateContent>
          <mc:Choice Requires="wps">
            <w:drawing>
              <wp:anchor distT="0" distB="0" distL="114300" distR="114300" simplePos="0" relativeHeight="251659264" behindDoc="0" locked="0" layoutInCell="1" allowOverlap="1" wp14:anchorId="1AD23232" wp14:editId="0CDC6DED">
                <wp:simplePos x="0" y="0"/>
                <wp:positionH relativeFrom="column">
                  <wp:posOffset>3265398</wp:posOffset>
                </wp:positionH>
                <wp:positionV relativeFrom="paragraph">
                  <wp:posOffset>191457</wp:posOffset>
                </wp:positionV>
                <wp:extent cx="0" cy="1780870"/>
                <wp:effectExtent l="0" t="0" r="19050" b="10160"/>
                <wp:wrapNone/>
                <wp:docPr id="80" name="Straight Connector 80"/>
                <wp:cNvGraphicFramePr/>
                <a:graphic xmlns:a="http://schemas.openxmlformats.org/drawingml/2006/main">
                  <a:graphicData uri="http://schemas.microsoft.com/office/word/2010/wordprocessingShape">
                    <wps:wsp>
                      <wps:cNvCnPr/>
                      <wps:spPr>
                        <a:xfrm>
                          <a:off x="0" y="0"/>
                          <a:ext cx="0" cy="1780870"/>
                        </a:xfrm>
                        <a:prstGeom prst="line">
                          <a:avLst/>
                        </a:prstGeom>
                        <a:noFill/>
                        <a:ln w="9525" cap="flat" cmpd="sng" algn="ctr">
                          <a:solidFill>
                            <a:sysClr val="windowText" lastClr="000000"/>
                          </a:solidFill>
                          <a:prstDash val="lgDash"/>
                        </a:ln>
                        <a:effectLst/>
                      </wps:spPr>
                      <wps:bodyPr/>
                    </wps:wsp>
                  </a:graphicData>
                </a:graphic>
              </wp:anchor>
            </w:drawing>
          </mc:Choice>
          <mc:Fallback>
            <w:pict>
              <v:line id="Straight Connector 8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7.1pt,15.1pt" to="257.1pt,1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" strokecolor="windowText">
                <v:stroke dashstyle="longDash"/>
              </v:line>
            </w:pict>
          </mc:Fallback>
        </mc:AlternateContent>
      </w:r>
      <w:r>
        <w:rPr>
          <w:noProof/>
          <w:lang w:eastAsia="en-AU"/>
        </w:rPr>
        <mc:AlternateContent>
          <mc:Choice Requires="wps">
            <w:drawing>
              <wp:anchor distT="0" distB="0" distL="114300" distR="114300" simplePos="0" relativeHeight="251664384" behindDoc="0" locked="0" layoutInCell="1" allowOverlap="1" wp14:anchorId="7F71D4B1" wp14:editId="4CF981F6">
                <wp:simplePos x="0" y="0"/>
                <wp:positionH relativeFrom="column">
                  <wp:posOffset>2797402</wp:posOffset>
                </wp:positionH>
                <wp:positionV relativeFrom="paragraph">
                  <wp:posOffset>191457</wp:posOffset>
                </wp:positionV>
                <wp:extent cx="1000117" cy="1780870"/>
                <wp:effectExtent l="0" t="0" r="29210" b="29210"/>
                <wp:wrapNone/>
                <wp:docPr id="85" name="Straight Connector 85"/>
                <wp:cNvGraphicFramePr/>
                <a:graphic xmlns:a="http://schemas.openxmlformats.org/drawingml/2006/main">
                  <a:graphicData uri="http://schemas.microsoft.com/office/word/2010/wordprocessingShape">
                    <wps:wsp>
                      <wps:cNvCnPr/>
                      <wps:spPr>
                        <a:xfrm flipH="1">
                          <a:off x="0" y="0"/>
                          <a:ext cx="1000117" cy="178087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Straight Connector 85"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220.25pt,15.1pt" to="299pt,15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"/>
            </w:pict>
          </mc:Fallback>
        </mc:AlternateContent>
      </w: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p>
    <w:p w:rsidR="001234C7" w:rsidRDefault="001234C7" w:rsidP="001234C7">
      <w:pPr>
        <w:pStyle w:val="Body2"/>
      </w:pPr>
      <w:r>
        <w:t>Following registration:</w:t>
      </w:r>
    </w:p>
    <w:p w:rsidR="001234C7" w:rsidRDefault="001234C7" w:rsidP="001234C7">
      <w:pPr>
        <w:pStyle w:val="Body2"/>
      </w:pPr>
      <w:r>
        <w:t xml:space="preserve">Both CTs will issue to Australia Bank Ltd because the mortgage registered in 1998 was registered prior to the mortgage to Victoria Bank Ltd, which was registered in 2010. </w:t>
      </w:r>
    </w:p>
    <w:p w:rsidR="001234C7" w:rsidRDefault="001234C7" w:rsidP="001234C7">
      <w:pPr>
        <w:pStyle w:val="Body2"/>
      </w:pPr>
      <w:r>
        <w:t xml:space="preserve">Note: to resolve the creation of NICO folios and both banks losing their power of sale if the mortgagor defaults, the discharges of mortgage, transfers and new mortgages should be lodged at the same time as the NICO plan (if these documents are lodged, the lodging party of the last </w:t>
      </w:r>
      <w:r w:rsidR="00D66BD9">
        <w:t xml:space="preserve">registered </w:t>
      </w:r>
      <w:r>
        <w:t>transaction against the folio will receive that new CT).</w:t>
      </w:r>
    </w:p>
    <w:p w:rsidR="001234C7" w:rsidRDefault="001234C7" w:rsidP="001234C7">
      <w:pPr>
        <w:pStyle w:val="Body2"/>
      </w:pPr>
      <w:r>
        <w:t>For further information refer to What is NICO? available on the Plans of subdivision and consolidation page at www.dtpli.vic.gov.au/property &gt;Land titles&gt;Plans of</w:t>
      </w:r>
      <w:r w:rsidR="009D11F6">
        <w:t xml:space="preserve"> subdivision and consolidation.</w:t>
      </w:r>
    </w:p>
    <w:p w:rsidR="003E26BE" w:rsidRDefault="003E26BE" w:rsidP="001234C7">
      <w:pPr>
        <w:pStyle w:val="Body2"/>
      </w:pPr>
    </w:p>
    <w:p w:rsidR="00B478E3" w:rsidRDefault="00B478E3" w:rsidP="001234C7">
      <w:pPr>
        <w:pStyle w:val="Body2"/>
      </w:pPr>
    </w:p>
    <w:p w:rsidR="00B478E3" w:rsidRDefault="00B478E3" w:rsidP="001234C7">
      <w:pPr>
        <w:pStyle w:val="Body2"/>
      </w:pPr>
    </w:p>
    <w:p w:rsidR="009D11F6" w:rsidRDefault="009D11F6">
      <w:pPr>
        <w:rPr>
          <w:rFonts w:cs="Arial"/>
          <w:b/>
          <w:color w:val="228591"/>
          <w:sz w:val="40"/>
          <w:lang w:val="en-US"/>
        </w:rPr>
      </w:pPr>
      <w:r>
        <w:br w:type="page"/>
      </w:r>
    </w:p>
    <w:p w:rsidR="001234C7" w:rsidRDefault="001234C7" w:rsidP="001234C7">
      <w:pPr>
        <w:pStyle w:val="HA"/>
      </w:pPr>
      <w:bookmarkStart w:id="18" w:name="_Toc418605880"/>
      <w:r>
        <w:lastRenderedPageBreak/>
        <w:t>Explanatory matrix</w:t>
      </w:r>
      <w:bookmarkEnd w:id="18"/>
    </w:p>
    <w:tbl>
      <w:tblPr>
        <w:tblStyle w:val="TableGrid10"/>
        <w:tblW w:w="1006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
        <w:gridCol w:w="1134"/>
        <w:gridCol w:w="992"/>
        <w:gridCol w:w="1134"/>
        <w:gridCol w:w="851"/>
        <w:gridCol w:w="992"/>
        <w:gridCol w:w="850"/>
        <w:gridCol w:w="1276"/>
        <w:gridCol w:w="851"/>
        <w:gridCol w:w="992"/>
      </w:tblGrid>
      <w:tr w:rsidR="00574AF7" w:rsidRPr="002134AB" w:rsidTr="00B478E3">
        <w:tc>
          <w:tcPr>
            <w:tcW w:w="993"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Reference</w:t>
            </w:r>
          </w:p>
        </w:tc>
        <w:tc>
          <w:tcPr>
            <w:tcW w:w="1134"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Transaction Type</w:t>
            </w:r>
          </w:p>
        </w:tc>
        <w:tc>
          <w:tcPr>
            <w:tcW w:w="992"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CT lodged with instrument by lodging party</w:t>
            </w:r>
          </w:p>
        </w:tc>
        <w:tc>
          <w:tcPr>
            <w:tcW w:w="1134"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CT nominated by nominating party</w:t>
            </w:r>
          </w:p>
        </w:tc>
        <w:tc>
          <w:tcPr>
            <w:tcW w:w="851"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Stay/go</w:t>
            </w:r>
          </w:p>
        </w:tc>
        <w:tc>
          <w:tcPr>
            <w:tcW w:w="992"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Folio cancelled by instrument or plan</w:t>
            </w:r>
          </w:p>
        </w:tc>
        <w:tc>
          <w:tcPr>
            <w:tcW w:w="850"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Business rules apply</w:t>
            </w:r>
          </w:p>
        </w:tc>
        <w:tc>
          <w:tcPr>
            <w:tcW w:w="1276"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Folio mortgaged after registration</w:t>
            </w:r>
          </w:p>
        </w:tc>
        <w:tc>
          <w:tcPr>
            <w:tcW w:w="851"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CT issue to lodging party</w:t>
            </w:r>
          </w:p>
        </w:tc>
        <w:tc>
          <w:tcPr>
            <w:tcW w:w="992" w:type="dxa"/>
            <w:shd w:val="clear" w:color="auto" w:fill="5D99A4"/>
          </w:tcPr>
          <w:p w:rsidR="002134AB" w:rsidRPr="002134AB" w:rsidRDefault="002134AB" w:rsidP="002134AB">
            <w:pPr>
              <w:rPr>
                <w:rFonts w:asciiTheme="minorHAnsi" w:hAnsiTheme="minorHAnsi"/>
                <w:b/>
                <w:sz w:val="16"/>
                <w:szCs w:val="16"/>
              </w:rPr>
            </w:pPr>
            <w:r w:rsidRPr="002134AB">
              <w:rPr>
                <w:rFonts w:asciiTheme="minorHAnsi" w:hAnsiTheme="minorHAnsi"/>
                <w:b/>
                <w:sz w:val="16"/>
                <w:szCs w:val="16"/>
              </w:rPr>
              <w:t>CT issue to nominating party</w:t>
            </w:r>
          </w:p>
        </w:tc>
      </w:tr>
      <w:tr w:rsidR="002134AB" w:rsidRPr="00B478E3" w:rsidTr="00B478E3">
        <w:tc>
          <w:tcPr>
            <w:tcW w:w="993"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t>Scenario 1</w:t>
            </w:r>
          </w:p>
        </w:tc>
        <w:tc>
          <w:tcPr>
            <w:tcW w:w="1134"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t>Transfer of lot 1 from multi parcel title</w:t>
            </w:r>
          </w:p>
        </w:tc>
        <w:tc>
          <w:tcPr>
            <w:tcW w:w="992"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2" w:char="F0CD"/>
            </w:r>
          </w:p>
        </w:tc>
        <w:tc>
          <w:tcPr>
            <w:tcW w:w="1134"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p w:rsidR="002134AB" w:rsidRPr="00B478E3" w:rsidRDefault="002134AB" w:rsidP="002134AB">
            <w:pPr>
              <w:rPr>
                <w:rFonts w:asciiTheme="minorHAnsi" w:hAnsiTheme="minorHAnsi"/>
                <w:sz w:val="16"/>
                <w:szCs w:val="16"/>
              </w:rPr>
            </w:pPr>
            <w:r w:rsidRPr="00B478E3">
              <w:rPr>
                <w:rFonts w:asciiTheme="minorHAnsi" w:hAnsiTheme="minorHAnsi"/>
                <w:sz w:val="16"/>
                <w:szCs w:val="16"/>
              </w:rPr>
              <w:t>Nominated by lawyer for owner</w:t>
            </w:r>
          </w:p>
        </w:tc>
        <w:tc>
          <w:tcPr>
            <w:tcW w:w="851"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t>stay</w:t>
            </w:r>
          </w:p>
        </w:tc>
        <w:tc>
          <w:tcPr>
            <w:tcW w:w="992"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tc>
        <w:tc>
          <w:tcPr>
            <w:tcW w:w="850"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tc>
        <w:tc>
          <w:tcPr>
            <w:tcW w:w="1276"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2" w:char="F0CD"/>
            </w:r>
          </w:p>
        </w:tc>
        <w:tc>
          <w:tcPr>
            <w:tcW w:w="851"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p w:rsidR="002134AB" w:rsidRPr="00B478E3" w:rsidRDefault="002134AB" w:rsidP="002134AB">
            <w:pPr>
              <w:rPr>
                <w:rFonts w:asciiTheme="minorHAnsi" w:hAnsiTheme="minorHAnsi"/>
                <w:sz w:val="16"/>
                <w:szCs w:val="16"/>
              </w:rPr>
            </w:pPr>
            <w:r w:rsidRPr="00B478E3">
              <w:rPr>
                <w:rFonts w:asciiTheme="minorHAnsi" w:hAnsiTheme="minorHAnsi"/>
                <w:sz w:val="16"/>
                <w:szCs w:val="16"/>
              </w:rPr>
              <w:t>Both CTs issue to the lodging party</w:t>
            </w:r>
          </w:p>
        </w:tc>
        <w:tc>
          <w:tcPr>
            <w:tcW w:w="992" w:type="dxa"/>
            <w:tcBorders>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2" w:char="F0CD"/>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t>Scenario 2</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t>Transfer of lot 1 from multi parcel title, discharge and transfer for lot 1</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2" w:char="F0CD"/>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p w:rsidR="002134AB" w:rsidRPr="00B478E3" w:rsidRDefault="002134AB" w:rsidP="002134AB">
            <w:pPr>
              <w:rPr>
                <w:rFonts w:asciiTheme="minorHAnsi" w:hAnsiTheme="minorHAnsi"/>
                <w:sz w:val="16"/>
                <w:szCs w:val="16"/>
              </w:rPr>
            </w:pPr>
            <w:r w:rsidRPr="00B478E3">
              <w:rPr>
                <w:rFonts w:asciiTheme="minorHAnsi" w:hAnsiTheme="minorHAnsi"/>
                <w:sz w:val="16"/>
                <w:szCs w:val="16"/>
              </w:rPr>
              <w:t>Nominated by mortgagee</w:t>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p w:rsidR="002134AB" w:rsidRPr="00B478E3" w:rsidRDefault="002134AB" w:rsidP="002134AB">
            <w:pPr>
              <w:rPr>
                <w:rFonts w:asciiTheme="minorHAnsi" w:hAnsiTheme="minorHAnsi"/>
                <w:sz w:val="16"/>
                <w:szCs w:val="16"/>
              </w:rPr>
            </w:pPr>
            <w:r w:rsidRPr="00B478E3">
              <w:rPr>
                <w:rFonts w:asciiTheme="minorHAnsi" w:hAnsiTheme="minorHAnsi"/>
                <w:sz w:val="16"/>
                <w:szCs w:val="16"/>
              </w:rPr>
              <w:t>Lot 2 remains mortgaged.</w:t>
            </w:r>
          </w:p>
          <w:p w:rsidR="002134AB" w:rsidRPr="00B478E3" w:rsidRDefault="002134AB" w:rsidP="002134AB">
            <w:pPr>
              <w:rPr>
                <w:rFonts w:asciiTheme="minorHAnsi" w:hAnsiTheme="minorHAnsi"/>
                <w:sz w:val="16"/>
                <w:szCs w:val="16"/>
              </w:rPr>
            </w:pPr>
            <w:r w:rsidRPr="00B478E3">
              <w:rPr>
                <w:rFonts w:asciiTheme="minorHAnsi" w:hAnsiTheme="minorHAnsi"/>
                <w:sz w:val="16"/>
                <w:szCs w:val="16"/>
              </w:rPr>
              <w:t>Mortgage discharged for lot 1.</w:t>
            </w:r>
          </w:p>
          <w:p w:rsidR="002134AB" w:rsidRPr="00B478E3" w:rsidRDefault="002134AB" w:rsidP="002134AB">
            <w:pPr>
              <w:rPr>
                <w:rFonts w:asciiTheme="minorHAnsi" w:hAnsiTheme="minorHAnsi"/>
                <w:sz w:val="16"/>
                <w:szCs w:val="16"/>
              </w:rPr>
            </w:pP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p w:rsidR="002134AB" w:rsidRPr="00B478E3" w:rsidRDefault="002134AB" w:rsidP="002134AB">
            <w:pPr>
              <w:rPr>
                <w:rFonts w:asciiTheme="minorHAnsi" w:hAnsiTheme="minorHAnsi"/>
                <w:sz w:val="16"/>
                <w:szCs w:val="16"/>
              </w:rPr>
            </w:pPr>
            <w:r w:rsidRPr="00B478E3">
              <w:rPr>
                <w:rFonts w:asciiTheme="minorHAnsi" w:hAnsiTheme="minorHAnsi"/>
                <w:sz w:val="16"/>
                <w:szCs w:val="16"/>
              </w:rPr>
              <w:t>Lot 1</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sz w:val="16"/>
                <w:szCs w:val="16"/>
              </w:rPr>
            </w:pPr>
            <w:r w:rsidRPr="00B478E3">
              <w:rPr>
                <w:rFonts w:asciiTheme="minorHAnsi" w:hAnsiTheme="minorHAnsi"/>
                <w:sz w:val="16"/>
                <w:szCs w:val="16"/>
              </w:rPr>
              <w:sym w:font="Wingdings" w:char="F0FC"/>
            </w:r>
          </w:p>
          <w:p w:rsidR="002134AB" w:rsidRPr="00B478E3" w:rsidRDefault="002134AB" w:rsidP="002134AB">
            <w:pPr>
              <w:rPr>
                <w:rFonts w:asciiTheme="minorHAnsi" w:hAnsiTheme="minorHAnsi"/>
                <w:sz w:val="16"/>
                <w:szCs w:val="16"/>
              </w:rPr>
            </w:pPr>
            <w:r w:rsidRPr="00B478E3">
              <w:rPr>
                <w:rFonts w:asciiTheme="minorHAnsi" w:hAnsiTheme="minorHAnsi"/>
                <w:sz w:val="16"/>
                <w:szCs w:val="16"/>
              </w:rPr>
              <w:t>Lot 2</w:t>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Scenario 3</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Plan of subdivision</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Nominated by mortgagee</w:t>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Scenario 4</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Plan of subdivision followed by</w:t>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discharge, transfer, mortgage for lot 1</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Nominated by mortgagee</w:t>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Existing mortgage for all lots except 1, which has new mortgage</w:t>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Lot 1</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All but lot 1</w:t>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Scenario 5</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Sec 35 plan and transfer</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Nominated by lawyer for owner</w:t>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Both CTs issue to the lodging party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Scenario 6</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Sec 35 plan and transfer for res1</w:t>
            </w:r>
          </w:p>
          <w:p w:rsidR="002134AB" w:rsidRPr="00B478E3" w:rsidRDefault="002134AB" w:rsidP="002134AB">
            <w:pPr>
              <w:rPr>
                <w:rFonts w:asciiTheme="minorHAnsi" w:hAnsiTheme="minorHAnsi" w:cs="Tahoma"/>
                <w:sz w:val="16"/>
                <w:szCs w:val="16"/>
              </w:rPr>
            </w:pP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Nominated by mortgagee</w:t>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CT for res 1</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CT for lot 1</w:t>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Scenario 7</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Sec 32A plan</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1134" w:type="dxa"/>
            <w:tcBorders>
              <w:top w:val="single" w:sz="4" w:space="0" w:color="228591"/>
              <w:bottom w:val="single" w:sz="4" w:space="0" w:color="228591"/>
            </w:tcBorders>
          </w:tcPr>
          <w:p w:rsidR="002134AB" w:rsidRPr="00B478E3" w:rsidRDefault="002134AB" w:rsidP="002134AB">
            <w:pPr>
              <w:tabs>
                <w:tab w:val="left" w:pos="528"/>
                <w:tab w:val="center" w:pos="689"/>
              </w:tabs>
              <w:rPr>
                <w:rFonts w:asciiTheme="minorHAnsi" w:hAnsiTheme="minorHAnsi" w:cs="Tahoma"/>
                <w:sz w:val="16"/>
                <w:szCs w:val="16"/>
              </w:rPr>
            </w:pPr>
            <w:r w:rsidRPr="00B478E3">
              <w:rPr>
                <w:rFonts w:asciiTheme="minorHAnsi" w:hAnsiTheme="minorHAnsi" w:cs="Tahoma"/>
                <w:sz w:val="16"/>
                <w:szCs w:val="16"/>
              </w:rPr>
              <w:tab/>
            </w:r>
          </w:p>
          <w:p w:rsidR="002134AB" w:rsidRPr="00B478E3" w:rsidRDefault="002134AB" w:rsidP="002134AB">
            <w:pPr>
              <w:tabs>
                <w:tab w:val="left" w:pos="528"/>
                <w:tab w:val="center" w:pos="689"/>
              </w:tabs>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 xml:space="preserve">CTs nominated by </w:t>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different mortgagees</w:t>
            </w:r>
          </w:p>
          <w:p w:rsidR="002134AB" w:rsidRPr="00B478E3" w:rsidRDefault="002134AB" w:rsidP="002134AB">
            <w:pPr>
              <w:rPr>
                <w:rFonts w:asciiTheme="minorHAnsi" w:hAnsiTheme="minorHAnsi" w:cs="Tahoma"/>
                <w:sz w:val="16"/>
                <w:szCs w:val="16"/>
              </w:rPr>
            </w:pP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p>
          <w:p w:rsidR="002134AB" w:rsidRPr="00B478E3" w:rsidRDefault="002134AB" w:rsidP="002134AB">
            <w:pPr>
              <w:tabs>
                <w:tab w:val="left" w:pos="228"/>
                <w:tab w:val="center" w:pos="486"/>
              </w:tabs>
              <w:rPr>
                <w:rFonts w:asciiTheme="minorHAnsi" w:hAnsiTheme="minorHAnsi" w:cs="Tahoma"/>
                <w:sz w:val="16"/>
                <w:szCs w:val="16"/>
              </w:rPr>
            </w:pPr>
            <w:r w:rsidRPr="00B478E3">
              <w:rPr>
                <w:rFonts w:asciiTheme="minorHAnsi" w:hAnsiTheme="minorHAnsi" w:cs="Tahoma"/>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All CTs issue to lodging party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Scenario 8</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NICO</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One CT</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One CT nominated by mortgagee</w:t>
            </w:r>
          </w:p>
          <w:p w:rsidR="002134AB" w:rsidRPr="00B478E3" w:rsidRDefault="002134AB" w:rsidP="002134AB">
            <w:pPr>
              <w:rPr>
                <w:rFonts w:asciiTheme="minorHAnsi" w:hAnsiTheme="minorHAnsi" w:cs="Tahoma"/>
                <w:sz w:val="16"/>
                <w:szCs w:val="16"/>
              </w:rPr>
            </w:pP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Both CTs issue to mortgagee</w:t>
            </w:r>
          </w:p>
        </w:tc>
      </w:tr>
      <w:tr w:rsidR="002134AB" w:rsidRPr="00B478E3" w:rsidTr="00B478E3">
        <w:tc>
          <w:tcPr>
            <w:tcW w:w="993"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Scenario 9</w:t>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NICO</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1134"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Both CTs nominated by different mortgagees</w:t>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stay</w:t>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0"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1276"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tc>
        <w:tc>
          <w:tcPr>
            <w:tcW w:w="851"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sz w:val="16"/>
                <w:szCs w:val="16"/>
              </w:rPr>
              <w:sym w:font="Wingdings 2" w:char="F0CD"/>
            </w:r>
          </w:p>
        </w:tc>
        <w:tc>
          <w:tcPr>
            <w:tcW w:w="992" w:type="dxa"/>
            <w:tcBorders>
              <w:top w:val="single" w:sz="4" w:space="0" w:color="228591"/>
              <w:bottom w:val="single" w:sz="4" w:space="0" w:color="228591"/>
            </w:tcBorders>
          </w:tcPr>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sym w:font="Wingdings" w:char="F0FC"/>
            </w:r>
          </w:p>
          <w:p w:rsidR="002134AB" w:rsidRPr="00B478E3" w:rsidRDefault="002134AB" w:rsidP="002134AB">
            <w:pPr>
              <w:rPr>
                <w:rFonts w:asciiTheme="minorHAnsi" w:hAnsiTheme="minorHAnsi" w:cs="Tahoma"/>
                <w:sz w:val="16"/>
                <w:szCs w:val="16"/>
              </w:rPr>
            </w:pPr>
            <w:r w:rsidRPr="00B478E3">
              <w:rPr>
                <w:rFonts w:asciiTheme="minorHAnsi" w:hAnsiTheme="minorHAnsi" w:cs="Tahoma"/>
                <w:sz w:val="16"/>
                <w:szCs w:val="16"/>
              </w:rPr>
              <w:t>Both CTs issue to mortgagee that has mortgage with first priority</w:t>
            </w:r>
          </w:p>
        </w:tc>
      </w:tr>
    </w:tbl>
    <w:p w:rsidR="001234C7" w:rsidRDefault="001234C7" w:rsidP="00316346">
      <w:pPr>
        <w:pStyle w:val="HA"/>
      </w:pPr>
      <w:bookmarkStart w:id="19" w:name="_Toc418605881"/>
      <w:r>
        <w:t>Contact us</w:t>
      </w:r>
      <w:bookmarkEnd w:id="19"/>
    </w:p>
    <w:p w:rsidR="001234C7" w:rsidRDefault="001234C7" w:rsidP="001234C7">
      <w:pPr>
        <w:pStyle w:val="Body2"/>
      </w:pPr>
      <w:r>
        <w:t>For location and contact details, refer to www.dtpli.vic.gov.au/property&gt;Contact us.</w:t>
      </w:r>
    </w:p>
    <w:p w:rsidR="00574AF7" w:rsidRDefault="00574AF7" w:rsidP="001234C7">
      <w:pPr>
        <w:pStyle w:val="Body2"/>
      </w:pPr>
    </w:p>
    <w:p w:rsidR="008A7E20" w:rsidRDefault="008A7E20" w:rsidP="00590EF3"/>
    <w:p w:rsidR="009F61FE" w:rsidRDefault="009F61FE" w:rsidP="003917F9">
      <w:pPr>
        <w:sectPr w:rsidR="009F61FE" w:rsidSect="00574AF7">
          <w:footerReference w:type="default" r:id="rId22"/>
          <w:footerReference w:type="first" r:id="rId23"/>
          <w:pgSz w:w="11907" w:h="16840" w:code="9"/>
          <w:pgMar w:top="1134" w:right="1134" w:bottom="1134" w:left="1134" w:header="709" w:footer="567" w:gutter="0"/>
          <w:cols w:space="708"/>
          <w:formProt w:val="0"/>
          <w:titlePg/>
          <w:docGrid w:linePitch="360"/>
        </w:sectPr>
      </w:pPr>
    </w:p>
    <w:p w:rsidR="006C2C00" w:rsidRDefault="006C2C00" w:rsidP="003917F9"/>
    <w:p w:rsidR="006C2C00" w:rsidRDefault="006C2C00" w:rsidP="003917F9"/>
    <w:p w:rsidR="006C2C00" w:rsidRDefault="006C2C00" w:rsidP="003917F9">
      <w:pPr>
        <w:sectPr w:rsidR="006C2C00" w:rsidSect="00574AF7">
          <w:headerReference w:type="first" r:id="rId24"/>
          <w:footerReference w:type="first" r:id="rId25"/>
          <w:pgSz w:w="11907" w:h="16840" w:code="9"/>
          <w:pgMar w:top="1134" w:right="1134" w:bottom="1134" w:left="1134" w:header="709" w:footer="567" w:gutter="0"/>
          <w:pgNumType w:start="1"/>
          <w:cols w:space="708"/>
          <w:formProt w:val="0"/>
          <w:titlePg/>
          <w:docGrid w:linePitch="360"/>
        </w:sectPr>
      </w:pPr>
    </w:p>
    <w:p w:rsidR="009F61FE" w:rsidRDefault="009F61FE" w:rsidP="003917F9"/>
    <w:sectPr w:rsidR="009F61FE" w:rsidSect="00574AF7">
      <w:type w:val="continuous"/>
      <w:pgSz w:w="11907" w:h="16840" w:code="9"/>
      <w:pgMar w:top="1134" w:right="1134" w:bottom="1134" w:left="1134" w:header="709" w:footer="567" w:gutter="0"/>
      <w:pgNumType w:start="1"/>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AF7" w:rsidRDefault="00574AF7">
      <w:r>
        <w:separator/>
      </w:r>
    </w:p>
  </w:endnote>
  <w:endnote w:type="continuationSeparator" w:id="0">
    <w:p w:rsidR="00574AF7" w:rsidRDefault="0057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Default="00574AF7" w:rsidP="00207A7C">
    <w:pPr>
      <w:pStyle w:val="Footer"/>
    </w:pPr>
    <w:r>
      <w:rPr>
        <w:noProof/>
        <w:lang w:eastAsia="en-AU"/>
      </w:rPr>
      <w:drawing>
        <wp:anchor distT="0" distB="0" distL="114300" distR="114300" simplePos="0" relativeHeight="251659264" behindDoc="0" locked="0" layoutInCell="1" allowOverlap="1" wp14:anchorId="048CB8CA" wp14:editId="2599DFC5">
          <wp:simplePos x="0" y="0"/>
          <wp:positionH relativeFrom="column">
            <wp:posOffset>4755515</wp:posOffset>
          </wp:positionH>
          <wp:positionV relativeFrom="paragraph">
            <wp:posOffset>-7620</wp:posOffset>
          </wp:positionV>
          <wp:extent cx="1706880" cy="381000"/>
          <wp:effectExtent l="0" t="0" r="7620" b="0"/>
          <wp:wrapNone/>
          <wp:docPr id="32" name="Picture 32" descr="(DELWP) Insignia PMS541 Right Alig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LWP) Insignia PMS541 Right Align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3810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Default="00574AF7" w:rsidP="00274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74AF7" w:rsidRDefault="00574AF7" w:rsidP="00607A4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Default="00574AF7" w:rsidP="0034152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Pr="00EA4AEF" w:rsidRDefault="00574AF7" w:rsidP="00EA4AEF">
    <w:pPr>
      <w:pStyle w:val="zFooter"/>
      <w:rPr>
        <w:rStyle w:val="zRptPgNum"/>
        <w:color w:val="auto"/>
      </w:rPr>
    </w:pPr>
    <w:r w:rsidRPr="00EA4AEF">
      <w:rPr>
        <w:rStyle w:val="zRptPgNum"/>
        <w:b/>
        <w:color w:val="auto"/>
      </w:rPr>
      <w:t>Report Title</w:t>
    </w:r>
    <w:r w:rsidRPr="00EA4AEF">
      <w:rPr>
        <w:rStyle w:val="zRptPgNum"/>
        <w:color w:val="auto"/>
      </w:rPr>
      <w:t xml:space="preserve"> Report Subtitle</w:t>
    </w:r>
  </w:p>
  <w:p w:rsidR="00574AF7" w:rsidRPr="003F347D" w:rsidRDefault="00574AF7" w:rsidP="00EA4AEF">
    <w:pPr>
      <w:pStyle w:val="zFooter"/>
    </w:pPr>
    <w:r w:rsidRPr="003F347D">
      <w:rPr>
        <w:rStyle w:val="zRptPgNum"/>
      </w:rPr>
      <w:fldChar w:fldCharType="begin"/>
    </w:r>
    <w:r w:rsidRPr="003F347D">
      <w:rPr>
        <w:rStyle w:val="zRptPgNum"/>
      </w:rPr>
      <w:instrText xml:space="preserve"> PAGE   \* MERGEFORMAT </w:instrText>
    </w:r>
    <w:r w:rsidRPr="003F347D">
      <w:rPr>
        <w:rStyle w:val="zRptPgNum"/>
      </w:rPr>
      <w:fldChar w:fldCharType="separate"/>
    </w:r>
    <w:r>
      <w:rPr>
        <w:rStyle w:val="zRptPgNum"/>
        <w:noProof/>
      </w:rPr>
      <w:t>2</w:t>
    </w:r>
    <w:r w:rsidRPr="003F347D">
      <w:rPr>
        <w:rStyle w:val="zRptPgNum"/>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Pr="00371E21" w:rsidRDefault="00574AF7" w:rsidP="006C2C00">
    <w:pPr>
      <w:pStyle w:val="zFooter"/>
      <w:rPr>
        <w:rStyle w:val="zRptPgNum"/>
        <w:color w:val="auto"/>
      </w:rPr>
    </w:pPr>
    <w:r w:rsidRPr="00315C93">
      <w:rPr>
        <w:rStyle w:val="zRptPgNum"/>
        <w:b/>
        <w:color w:val="auto"/>
      </w:rPr>
      <w:t xml:space="preserve">Guide to </w:t>
    </w:r>
    <w:r w:rsidRPr="001234C7">
      <w:rPr>
        <w:rStyle w:val="zRptPgNum"/>
        <w:b/>
        <w:color w:val="auto"/>
      </w:rPr>
      <w:t>business rules for issuing Certificates of Title</w:t>
    </w:r>
  </w:p>
  <w:p w:rsidR="00574AF7" w:rsidRPr="00040071" w:rsidRDefault="00574AF7" w:rsidP="006C2C00">
    <w:pPr>
      <w:pStyle w:val="zFooter"/>
      <w:rPr>
        <w:rStyle w:val="zRptPgNum"/>
      </w:rPr>
    </w:pPr>
    <w:r w:rsidRPr="00040071">
      <w:rPr>
        <w:rStyle w:val="zRptPgNum"/>
      </w:rPr>
      <w:fldChar w:fldCharType="begin"/>
    </w:r>
    <w:r w:rsidRPr="00040071">
      <w:rPr>
        <w:rStyle w:val="zRptPgNum"/>
      </w:rPr>
      <w:instrText xml:space="preserve"> PAGE  \* Arabic  \* MERGEFORMAT </w:instrText>
    </w:r>
    <w:r w:rsidRPr="00040071">
      <w:rPr>
        <w:rStyle w:val="zRptPgNum"/>
      </w:rPr>
      <w:fldChar w:fldCharType="separate"/>
    </w:r>
    <w:r w:rsidR="0095774A">
      <w:rPr>
        <w:rStyle w:val="zRptPgNum"/>
        <w:noProof/>
      </w:rPr>
      <w:t>1</w:t>
    </w:r>
    <w:r w:rsidRPr="00040071">
      <w:rPr>
        <w:rStyle w:val="zRptPgNum"/>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Pr="00371E21" w:rsidRDefault="00574AF7" w:rsidP="00DE01BF">
    <w:pPr>
      <w:pStyle w:val="zFooter"/>
      <w:rPr>
        <w:rStyle w:val="zRptPgNum"/>
        <w:color w:val="auto"/>
      </w:rPr>
    </w:pPr>
    <w:r>
      <w:rPr>
        <w:rStyle w:val="zRptPgNum"/>
        <w:b/>
        <w:color w:val="auto"/>
      </w:rPr>
      <w:t>Guide to Certificates of Title and Administrative Notices</w:t>
    </w:r>
  </w:p>
  <w:p w:rsidR="00574AF7" w:rsidRPr="00A60CCB" w:rsidRDefault="00574AF7" w:rsidP="00DE01BF">
    <w:pPr>
      <w:pStyle w:val="zFooter"/>
      <w:rPr>
        <w:color w:val="228591"/>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95774A">
      <w:rPr>
        <w:rStyle w:val="zRptPgNum"/>
        <w:noProof/>
      </w:rPr>
      <w:t>8</w:t>
    </w:r>
    <w:r w:rsidRPr="00A60CCB">
      <w:rPr>
        <w:rStyle w:val="zRptPgNum"/>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Pr="00371E21" w:rsidRDefault="00574AF7" w:rsidP="00DE01BF">
    <w:pPr>
      <w:pStyle w:val="zFooter"/>
      <w:rPr>
        <w:rStyle w:val="zRptPgNum"/>
        <w:color w:val="auto"/>
      </w:rPr>
    </w:pPr>
    <w:r w:rsidRPr="00315C93">
      <w:rPr>
        <w:rStyle w:val="zRptPgNum"/>
        <w:b/>
        <w:color w:val="auto"/>
      </w:rPr>
      <w:t xml:space="preserve">Guide to </w:t>
    </w:r>
    <w:r w:rsidRPr="001234C7">
      <w:rPr>
        <w:rStyle w:val="zRptPgNum"/>
        <w:b/>
        <w:color w:val="auto"/>
      </w:rPr>
      <w:t>business rules for issuing Certificates of Title</w:t>
    </w:r>
  </w:p>
  <w:p w:rsidR="00574AF7" w:rsidRPr="00A60CCB" w:rsidRDefault="00574AF7" w:rsidP="00DE01BF">
    <w:pPr>
      <w:pStyle w:val="zFooter"/>
      <w:rPr>
        <w:color w:val="228591"/>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95774A">
      <w:rPr>
        <w:rStyle w:val="zRptPgNum"/>
        <w:noProof/>
      </w:rPr>
      <w:t>2</w:t>
    </w:r>
    <w:r w:rsidRPr="00A60CCB">
      <w:rPr>
        <w:rStyle w:val="zRptPgNum"/>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Pr="009F61FE" w:rsidRDefault="00574AF7" w:rsidP="009F61FE">
    <w:pPr>
      <w:pStyle w:val="Footer"/>
      <w:rPr>
        <w:rStyle w:val="zRptPgNum"/>
        <w:color w:val="auto"/>
      </w:rPr>
    </w:pPr>
    <w:r>
      <w:rPr>
        <w:noProof/>
        <w:lang w:eastAsia="en-AU"/>
      </w:rPr>
      <mc:AlternateContent>
        <mc:Choice Requires="wps">
          <w:drawing>
            <wp:anchor distT="0" distB="0" distL="114300" distR="114300" simplePos="0" relativeHeight="251658240" behindDoc="0" locked="0" layoutInCell="1" allowOverlap="1" wp14:anchorId="315B78AD" wp14:editId="1D31559F">
              <wp:simplePos x="0" y="0"/>
              <wp:positionH relativeFrom="column">
                <wp:posOffset>368935</wp:posOffset>
              </wp:positionH>
              <wp:positionV relativeFrom="paragraph">
                <wp:posOffset>-2204720</wp:posOffset>
              </wp:positionV>
              <wp:extent cx="2966720" cy="147320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6720" cy="147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4AF7" w:rsidRDefault="00574AF7">
                          <w:pPr>
                            <w:rPr>
                              <w:rFonts w:ascii="Arial" w:hAnsi="Arial" w:cs="Arial"/>
                              <w:color w:val="FFFFFF"/>
                            </w:rPr>
                          </w:pPr>
                        </w:p>
                        <w:p w:rsidR="00574AF7" w:rsidRDefault="00574AF7">
                          <w:pPr>
                            <w:rPr>
                              <w:rFonts w:ascii="Arial" w:hAnsi="Arial" w:cs="Arial"/>
                              <w:color w:val="FFFFFF"/>
                            </w:rPr>
                          </w:pPr>
                        </w:p>
                        <w:p w:rsidR="00574AF7" w:rsidRDefault="00574AF7">
                          <w:pPr>
                            <w:rPr>
                              <w:rFonts w:ascii="Arial" w:hAnsi="Arial" w:cs="Arial"/>
                              <w:color w:val="FFFFFF"/>
                            </w:rPr>
                          </w:pPr>
                        </w:p>
                        <w:p w:rsidR="00574AF7" w:rsidRDefault="00574AF7">
                          <w:pPr>
                            <w:rPr>
                              <w:rFonts w:ascii="Arial" w:hAnsi="Arial" w:cs="Arial"/>
                              <w:color w:val="FFFFFF"/>
                            </w:rPr>
                          </w:pPr>
                        </w:p>
                        <w:p w:rsidR="00574AF7" w:rsidRDefault="00574AF7">
                          <w:pPr>
                            <w:rPr>
                              <w:rFonts w:ascii="Arial" w:hAnsi="Arial" w:cs="Arial"/>
                              <w:color w:val="FFFFFF"/>
                            </w:rPr>
                          </w:pPr>
                        </w:p>
                        <w:p w:rsidR="00574AF7" w:rsidRPr="0090189E" w:rsidRDefault="00574AF7">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64" type="#_x0000_t202" style="position:absolute;margin-left:29.05pt;margin-top:-173.6pt;width:233.6pt;height:1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" filled="f" stroked="f">
              <v:textbox inset=",7.2pt,,7.2pt">
                <w:txbxContent>
                  <w:p w:rsidR="00574AF7" w:rsidRDefault="00574AF7">
                    <w:pPr>
                      <w:rPr>
                        <w:rFonts w:ascii="Arial" w:hAnsi="Arial" w:cs="Arial"/>
                        <w:color w:val="FFFFFF"/>
                      </w:rPr>
                    </w:pPr>
                  </w:p>
                  <w:p w:rsidR="00574AF7" w:rsidRDefault="00574AF7">
                    <w:pPr>
                      <w:rPr>
                        <w:rFonts w:ascii="Arial" w:hAnsi="Arial" w:cs="Arial"/>
                        <w:color w:val="FFFFFF"/>
                      </w:rPr>
                    </w:pPr>
                  </w:p>
                  <w:p w:rsidR="00574AF7" w:rsidRDefault="00574AF7">
                    <w:pPr>
                      <w:rPr>
                        <w:rFonts w:ascii="Arial" w:hAnsi="Arial" w:cs="Arial"/>
                        <w:color w:val="FFFFFF"/>
                      </w:rPr>
                    </w:pPr>
                  </w:p>
                  <w:p w:rsidR="00574AF7" w:rsidRDefault="00574AF7">
                    <w:pPr>
                      <w:rPr>
                        <w:rFonts w:ascii="Arial" w:hAnsi="Arial" w:cs="Arial"/>
                        <w:color w:val="FFFFFF"/>
                      </w:rPr>
                    </w:pPr>
                  </w:p>
                  <w:p w:rsidR="00574AF7" w:rsidRDefault="00574AF7">
                    <w:pPr>
                      <w:rPr>
                        <w:rFonts w:ascii="Arial" w:hAnsi="Arial" w:cs="Arial"/>
                        <w:color w:val="FFFFFF"/>
                      </w:rPr>
                    </w:pPr>
                  </w:p>
                  <w:p w:rsidR="00574AF7" w:rsidRPr="0090189E" w:rsidRDefault="00574AF7">
                    <w:pPr>
                      <w:rPr>
                        <w:rFonts w:asciiTheme="minorHAnsi" w:hAnsiTheme="minorHAnsi" w:cstheme="minorHAnsi"/>
                        <w:color w:val="FFFFFF"/>
                        <w:sz w:val="40"/>
                        <w:szCs w:val="40"/>
                      </w:rPr>
                    </w:pPr>
                    <w:r w:rsidRPr="0090189E">
                      <w:rPr>
                        <w:rFonts w:asciiTheme="minorHAnsi" w:hAnsiTheme="minorHAnsi" w:cstheme="minorHAnsi"/>
                        <w:color w:val="FFFFFF"/>
                        <w:sz w:val="40"/>
                        <w:szCs w:val="40"/>
                      </w:rPr>
                      <w:t>www.delwp.vic.gov.au</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AF7" w:rsidRPr="00D07E53" w:rsidRDefault="00574AF7">
      <w:pPr>
        <w:rPr>
          <w:color w:val="FFFFFF"/>
        </w:rPr>
      </w:pPr>
      <w:r w:rsidRPr="00D07E53">
        <w:rPr>
          <w:color w:val="FFFFFF"/>
        </w:rPr>
        <w:separator/>
      </w:r>
    </w:p>
  </w:footnote>
  <w:footnote w:type="continuationSeparator" w:id="0">
    <w:p w:rsidR="00574AF7" w:rsidRDefault="00574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Default="00574AF7">
    <w:pPr>
      <w:pStyle w:val="Header"/>
    </w:pPr>
    <w:r>
      <w:rPr>
        <w:noProof/>
        <w:lang w:eastAsia="en-AU"/>
      </w:rPr>
      <w:drawing>
        <wp:anchor distT="0" distB="0" distL="114300" distR="114300" simplePos="0" relativeHeight="251657216" behindDoc="1" locked="0" layoutInCell="1" allowOverlap="1" wp14:anchorId="2BDB2AA1" wp14:editId="11FF2720">
          <wp:simplePos x="0" y="0"/>
          <wp:positionH relativeFrom="column">
            <wp:posOffset>-342900</wp:posOffset>
          </wp:positionH>
          <wp:positionV relativeFrom="paragraph">
            <wp:posOffset>-111760</wp:posOffset>
          </wp:positionV>
          <wp:extent cx="6805295" cy="3149600"/>
          <wp:effectExtent l="0" t="0" r="0" b="0"/>
          <wp:wrapNone/>
          <wp:docPr id="31" name="Picture 31"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5295" cy="314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Default="00574AF7" w:rsidP="003424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Default="00574AF7" w:rsidP="009046B1">
    <w:pPr>
      <w:pStyle w:val="z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AF7" w:rsidRDefault="00574AF7" w:rsidP="009046B1">
    <w:pPr>
      <w:pStyle w:val="zHeader"/>
    </w:pPr>
    <w:r>
      <w:rPr>
        <w:noProof/>
        <w:lang w:eastAsia="en-AU"/>
      </w:rPr>
      <w:drawing>
        <wp:anchor distT="0" distB="0" distL="114300" distR="114300" simplePos="0" relativeHeight="251656192" behindDoc="1" locked="0" layoutInCell="1" allowOverlap="1" wp14:anchorId="2F313999" wp14:editId="0E7B759B">
          <wp:simplePos x="0" y="0"/>
          <wp:positionH relativeFrom="column">
            <wp:posOffset>-353060</wp:posOffset>
          </wp:positionH>
          <wp:positionV relativeFrom="paragraph">
            <wp:posOffset>-101600</wp:posOffset>
          </wp:positionV>
          <wp:extent cx="6837680" cy="9627870"/>
          <wp:effectExtent l="0" t="0" r="1270" b="0"/>
          <wp:wrapNone/>
          <wp:docPr id="21" name="Picture 21" descr="Untitle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titled-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7680" cy="96278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FB428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B6ADD6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0B4BCEA"/>
    <w:lvl w:ilvl="0">
      <w:start w:val="1"/>
      <w:numFmt w:val="decimal"/>
      <w:pStyle w:val="ListNumber3"/>
      <w:lvlText w:val="%1."/>
      <w:lvlJc w:val="left"/>
      <w:pPr>
        <w:tabs>
          <w:tab w:val="num" w:pos="926"/>
        </w:tabs>
        <w:ind w:left="926" w:hanging="360"/>
      </w:pPr>
    </w:lvl>
  </w:abstractNum>
  <w:abstractNum w:abstractNumId="3">
    <w:nsid w:val="FFFFFF7F"/>
    <w:multiLevelType w:val="singleLevel"/>
    <w:tmpl w:val="CD70D66E"/>
    <w:lvl w:ilvl="0">
      <w:start w:val="1"/>
      <w:numFmt w:val="decimal"/>
      <w:pStyle w:val="ListNumber2"/>
      <w:lvlText w:val="%1."/>
      <w:lvlJc w:val="left"/>
      <w:pPr>
        <w:tabs>
          <w:tab w:val="num" w:pos="643"/>
        </w:tabs>
        <w:ind w:left="643" w:hanging="360"/>
      </w:pPr>
    </w:lvl>
  </w:abstractNum>
  <w:abstractNum w:abstractNumId="4">
    <w:nsid w:val="FFFFFF80"/>
    <w:multiLevelType w:val="singleLevel"/>
    <w:tmpl w:val="1A30ECF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036262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F8EAC82"/>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6700E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BA2316C"/>
    <w:lvl w:ilvl="0">
      <w:start w:val="1"/>
      <w:numFmt w:val="decimal"/>
      <w:pStyle w:val="ListNumber"/>
      <w:lvlText w:val="%1."/>
      <w:lvlJc w:val="left"/>
      <w:pPr>
        <w:tabs>
          <w:tab w:val="num" w:pos="360"/>
        </w:tabs>
        <w:ind w:left="360" w:hanging="360"/>
      </w:pPr>
    </w:lvl>
  </w:abstractNum>
  <w:abstractNum w:abstractNumId="9">
    <w:nsid w:val="FFFFFF89"/>
    <w:multiLevelType w:val="singleLevel"/>
    <w:tmpl w:val="A246F1C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3F64FB"/>
    <w:multiLevelType w:val="hybridMultilevel"/>
    <w:tmpl w:val="57FCE70E"/>
    <w:lvl w:ilvl="0" w:tplc="C0D09E58">
      <w:numFmt w:val="bullet"/>
      <w:pStyle w:val="Bullet3"/>
      <w:lvlText w:val=""/>
      <w:lvlJc w:val="left"/>
      <w:pPr>
        <w:ind w:left="890" w:hanging="360"/>
      </w:pPr>
      <w:rPr>
        <w:rFonts w:ascii="Wingdings" w:eastAsia="Times New Roman" w:hAnsi="Wingdings" w:cs="Arial"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11">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059550C3"/>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081956F9"/>
    <w:multiLevelType w:val="hybridMultilevel"/>
    <w:tmpl w:val="DBB2C87A"/>
    <w:lvl w:ilvl="0" w:tplc="D11EF60A">
      <w:start w:val="1"/>
      <w:numFmt w:val="bullet"/>
      <w:pStyle w:val="Bullet"/>
      <w:lvlText w:val=""/>
      <w:lvlJc w:val="left"/>
      <w:pPr>
        <w:tabs>
          <w:tab w:val="num" w:pos="720"/>
        </w:tabs>
        <w:ind w:left="720" w:hanging="360"/>
      </w:pPr>
      <w:rPr>
        <w:rFonts w:ascii="Symbol" w:hAnsi="Symbol" w:hint="default"/>
      </w:rPr>
    </w:lvl>
    <w:lvl w:ilvl="1" w:tplc="CDBA1164">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F817EB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8F55E6"/>
    <w:multiLevelType w:val="multilevel"/>
    <w:tmpl w:val="19C038B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2C183DD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36A06306"/>
    <w:multiLevelType w:val="multilevel"/>
    <w:tmpl w:val="6A246D7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8EA2C00"/>
    <w:multiLevelType w:val="hybridMultilevel"/>
    <w:tmpl w:val="47DAF9C6"/>
    <w:lvl w:ilvl="0" w:tplc="0770BF80">
      <w:numFmt w:val="bullet"/>
      <w:lvlText w:val=""/>
      <w:lvlJc w:val="left"/>
      <w:pPr>
        <w:ind w:left="530" w:hanging="360"/>
      </w:pPr>
      <w:rPr>
        <w:rFonts w:ascii="Wingdings" w:eastAsia="Times New Roman" w:hAnsi="Wingdings" w:cs="Arial" w:hint="default"/>
      </w:rPr>
    </w:lvl>
    <w:lvl w:ilvl="1" w:tplc="0C090003" w:tentative="1">
      <w:start w:val="1"/>
      <w:numFmt w:val="bullet"/>
      <w:lvlText w:val="o"/>
      <w:lvlJc w:val="left"/>
      <w:pPr>
        <w:ind w:left="1250" w:hanging="360"/>
      </w:pPr>
      <w:rPr>
        <w:rFonts w:ascii="Courier New" w:hAnsi="Courier New" w:cs="Courier New" w:hint="default"/>
      </w:rPr>
    </w:lvl>
    <w:lvl w:ilvl="2" w:tplc="0C090005" w:tentative="1">
      <w:start w:val="1"/>
      <w:numFmt w:val="bullet"/>
      <w:lvlText w:val=""/>
      <w:lvlJc w:val="left"/>
      <w:pPr>
        <w:ind w:left="1970" w:hanging="360"/>
      </w:pPr>
      <w:rPr>
        <w:rFonts w:ascii="Wingdings" w:hAnsi="Wingdings" w:hint="default"/>
      </w:rPr>
    </w:lvl>
    <w:lvl w:ilvl="3" w:tplc="0C090001" w:tentative="1">
      <w:start w:val="1"/>
      <w:numFmt w:val="bullet"/>
      <w:lvlText w:val=""/>
      <w:lvlJc w:val="left"/>
      <w:pPr>
        <w:ind w:left="2690" w:hanging="360"/>
      </w:pPr>
      <w:rPr>
        <w:rFonts w:ascii="Symbol" w:hAnsi="Symbol" w:hint="default"/>
      </w:rPr>
    </w:lvl>
    <w:lvl w:ilvl="4" w:tplc="0C090003" w:tentative="1">
      <w:start w:val="1"/>
      <w:numFmt w:val="bullet"/>
      <w:lvlText w:val="o"/>
      <w:lvlJc w:val="left"/>
      <w:pPr>
        <w:ind w:left="3410" w:hanging="360"/>
      </w:pPr>
      <w:rPr>
        <w:rFonts w:ascii="Courier New" w:hAnsi="Courier New" w:cs="Courier New" w:hint="default"/>
      </w:rPr>
    </w:lvl>
    <w:lvl w:ilvl="5" w:tplc="0C090005" w:tentative="1">
      <w:start w:val="1"/>
      <w:numFmt w:val="bullet"/>
      <w:lvlText w:val=""/>
      <w:lvlJc w:val="left"/>
      <w:pPr>
        <w:ind w:left="4130" w:hanging="360"/>
      </w:pPr>
      <w:rPr>
        <w:rFonts w:ascii="Wingdings" w:hAnsi="Wingdings" w:hint="default"/>
      </w:rPr>
    </w:lvl>
    <w:lvl w:ilvl="6" w:tplc="0C090001" w:tentative="1">
      <w:start w:val="1"/>
      <w:numFmt w:val="bullet"/>
      <w:lvlText w:val=""/>
      <w:lvlJc w:val="left"/>
      <w:pPr>
        <w:ind w:left="4850" w:hanging="360"/>
      </w:pPr>
      <w:rPr>
        <w:rFonts w:ascii="Symbol" w:hAnsi="Symbol" w:hint="default"/>
      </w:rPr>
    </w:lvl>
    <w:lvl w:ilvl="7" w:tplc="0C090003" w:tentative="1">
      <w:start w:val="1"/>
      <w:numFmt w:val="bullet"/>
      <w:lvlText w:val="o"/>
      <w:lvlJc w:val="left"/>
      <w:pPr>
        <w:ind w:left="5570" w:hanging="360"/>
      </w:pPr>
      <w:rPr>
        <w:rFonts w:ascii="Courier New" w:hAnsi="Courier New" w:cs="Courier New" w:hint="default"/>
      </w:rPr>
    </w:lvl>
    <w:lvl w:ilvl="8" w:tplc="0C090005" w:tentative="1">
      <w:start w:val="1"/>
      <w:numFmt w:val="bullet"/>
      <w:lvlText w:val=""/>
      <w:lvlJc w:val="left"/>
      <w:pPr>
        <w:ind w:left="6290" w:hanging="360"/>
      </w:pPr>
      <w:rPr>
        <w:rFonts w:ascii="Wingdings" w:hAnsi="Wingdings" w:hint="default"/>
      </w:rPr>
    </w:lvl>
  </w:abstractNum>
  <w:abstractNum w:abstractNumId="19">
    <w:nsid w:val="3CE841AF"/>
    <w:multiLevelType w:val="multilevel"/>
    <w:tmpl w:val="3E6ABD0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nsid w:val="463228DC"/>
    <w:multiLevelType w:val="hybridMultilevel"/>
    <w:tmpl w:val="75444768"/>
    <w:lvl w:ilvl="0" w:tplc="0E181372">
      <w:numFmt w:val="bullet"/>
      <w:lvlText w:val=""/>
      <w:lvlJc w:val="left"/>
      <w:pPr>
        <w:ind w:left="530" w:hanging="360"/>
      </w:pPr>
      <w:rPr>
        <w:rFonts w:ascii="Wingdings" w:eastAsia="Times New Roman" w:hAnsi="Wingdings" w:cs="Arial" w:hint="default"/>
      </w:rPr>
    </w:lvl>
    <w:lvl w:ilvl="1" w:tplc="0C090003" w:tentative="1">
      <w:start w:val="1"/>
      <w:numFmt w:val="bullet"/>
      <w:lvlText w:val="o"/>
      <w:lvlJc w:val="left"/>
      <w:pPr>
        <w:ind w:left="1250" w:hanging="360"/>
      </w:pPr>
      <w:rPr>
        <w:rFonts w:ascii="Courier New" w:hAnsi="Courier New" w:cs="Courier New" w:hint="default"/>
      </w:rPr>
    </w:lvl>
    <w:lvl w:ilvl="2" w:tplc="0C090005" w:tentative="1">
      <w:start w:val="1"/>
      <w:numFmt w:val="bullet"/>
      <w:lvlText w:val=""/>
      <w:lvlJc w:val="left"/>
      <w:pPr>
        <w:ind w:left="1970" w:hanging="360"/>
      </w:pPr>
      <w:rPr>
        <w:rFonts w:ascii="Wingdings" w:hAnsi="Wingdings" w:hint="default"/>
      </w:rPr>
    </w:lvl>
    <w:lvl w:ilvl="3" w:tplc="0C090001" w:tentative="1">
      <w:start w:val="1"/>
      <w:numFmt w:val="bullet"/>
      <w:lvlText w:val=""/>
      <w:lvlJc w:val="left"/>
      <w:pPr>
        <w:ind w:left="2690" w:hanging="360"/>
      </w:pPr>
      <w:rPr>
        <w:rFonts w:ascii="Symbol" w:hAnsi="Symbol" w:hint="default"/>
      </w:rPr>
    </w:lvl>
    <w:lvl w:ilvl="4" w:tplc="0C090003" w:tentative="1">
      <w:start w:val="1"/>
      <w:numFmt w:val="bullet"/>
      <w:lvlText w:val="o"/>
      <w:lvlJc w:val="left"/>
      <w:pPr>
        <w:ind w:left="3410" w:hanging="360"/>
      </w:pPr>
      <w:rPr>
        <w:rFonts w:ascii="Courier New" w:hAnsi="Courier New" w:cs="Courier New" w:hint="default"/>
      </w:rPr>
    </w:lvl>
    <w:lvl w:ilvl="5" w:tplc="0C090005" w:tentative="1">
      <w:start w:val="1"/>
      <w:numFmt w:val="bullet"/>
      <w:lvlText w:val=""/>
      <w:lvlJc w:val="left"/>
      <w:pPr>
        <w:ind w:left="4130" w:hanging="360"/>
      </w:pPr>
      <w:rPr>
        <w:rFonts w:ascii="Wingdings" w:hAnsi="Wingdings" w:hint="default"/>
      </w:rPr>
    </w:lvl>
    <w:lvl w:ilvl="6" w:tplc="0C090001" w:tentative="1">
      <w:start w:val="1"/>
      <w:numFmt w:val="bullet"/>
      <w:lvlText w:val=""/>
      <w:lvlJc w:val="left"/>
      <w:pPr>
        <w:ind w:left="4850" w:hanging="360"/>
      </w:pPr>
      <w:rPr>
        <w:rFonts w:ascii="Symbol" w:hAnsi="Symbol" w:hint="default"/>
      </w:rPr>
    </w:lvl>
    <w:lvl w:ilvl="7" w:tplc="0C090003" w:tentative="1">
      <w:start w:val="1"/>
      <w:numFmt w:val="bullet"/>
      <w:lvlText w:val="o"/>
      <w:lvlJc w:val="left"/>
      <w:pPr>
        <w:ind w:left="5570" w:hanging="360"/>
      </w:pPr>
      <w:rPr>
        <w:rFonts w:ascii="Courier New" w:hAnsi="Courier New" w:cs="Courier New" w:hint="default"/>
      </w:rPr>
    </w:lvl>
    <w:lvl w:ilvl="8" w:tplc="0C090005" w:tentative="1">
      <w:start w:val="1"/>
      <w:numFmt w:val="bullet"/>
      <w:lvlText w:val=""/>
      <w:lvlJc w:val="left"/>
      <w:pPr>
        <w:ind w:left="6290" w:hanging="360"/>
      </w:pPr>
      <w:rPr>
        <w:rFonts w:ascii="Wingdings" w:hAnsi="Wingdings" w:hint="default"/>
      </w:rPr>
    </w:lvl>
  </w:abstractNum>
  <w:abstractNum w:abstractNumId="21">
    <w:nsid w:val="5B9B123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019580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nsid w:val="6CBC458E"/>
    <w:multiLevelType w:val="hybridMultilevel"/>
    <w:tmpl w:val="A684C4DE"/>
    <w:lvl w:ilvl="0" w:tplc="D11EF60A">
      <w:start w:val="1"/>
      <w:numFmt w:val="bullet"/>
      <w:lvlText w:val=""/>
      <w:lvlJc w:val="left"/>
      <w:pPr>
        <w:tabs>
          <w:tab w:val="num" w:pos="360"/>
        </w:tabs>
        <w:ind w:left="360" w:hanging="360"/>
      </w:pPr>
      <w:rPr>
        <w:rFonts w:ascii="Symbol" w:hAnsi="Symbol" w:hint="default"/>
      </w:rPr>
    </w:lvl>
    <w:lvl w:ilvl="1" w:tplc="09F69D14">
      <w:start w:val="1"/>
      <w:numFmt w:val="bullet"/>
      <w:pStyle w:val="Bullet2"/>
      <w:lvlText w:val="–"/>
      <w:lvlJc w:val="left"/>
      <w:pPr>
        <w:tabs>
          <w:tab w:val="num" w:pos="1080"/>
        </w:tabs>
        <w:ind w:left="1080" w:hanging="360"/>
      </w:pPr>
      <w:rPr>
        <w:rFonts w:ascii="Courier New" w:hAnsi="Courier New" w:hint="default"/>
      </w:rPr>
    </w:lvl>
    <w:lvl w:ilvl="2" w:tplc="B4B8798A">
      <w:start w:val="1"/>
      <w:numFmt w:val="decimal"/>
      <w:lvlText w:val="%3."/>
      <w:lvlJc w:val="left"/>
      <w:pPr>
        <w:tabs>
          <w:tab w:val="num" w:pos="1800"/>
        </w:tabs>
        <w:ind w:left="1800" w:hanging="360"/>
      </w:pPr>
      <w:rPr>
        <w:rFonts w:hint="default"/>
      </w:rPr>
    </w:lvl>
    <w:lvl w:ilvl="3" w:tplc="10CA7108">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22"/>
  </w:num>
  <w:num w:numId="18">
    <w:abstractNumId w:val="21"/>
  </w:num>
  <w:num w:numId="19">
    <w:abstractNumId w:val="24"/>
  </w:num>
  <w:num w:numId="20">
    <w:abstractNumId w:val="23"/>
  </w:num>
  <w:num w:numId="21">
    <w:abstractNumId w:val="15"/>
  </w:num>
  <w:num w:numId="22">
    <w:abstractNumId w:val="19"/>
  </w:num>
  <w:num w:numId="23">
    <w:abstractNumId w:val="11"/>
  </w:num>
  <w:num w:numId="24">
    <w:abstractNumId w:val="20"/>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removePersonalInformation/>
  <w:removeDateAndTime/>
  <w:hideSpellingErrors/>
  <w:activeWritingStyle w:appName="MSWord" w:lang="en-US" w:vendorID="64" w:dllVersion="131078" w:nlCheck="1" w:checkStyle="1"/>
  <w:activeWritingStyle w:appName="MSWord" w:lang="en-AU" w:vendorID="64" w:dllVersion="131078" w:nlCheck="1" w:checkStyle="1"/>
  <w:proofState w:spelling="clean"/>
  <w:attachedTemplate r:id="rId1"/>
  <w:documentProtection w:edit="forms" w:enforcement="0"/>
  <w:defaultTabStop w:val="720"/>
  <w:defaultTableStyle w:val="DELWPTable"/>
  <w:drawingGridHorizontalSpacing w:val="1134"/>
  <w:drawingGridVerticalSpacing w:val="1134"/>
  <w:displayHorizontalDrawingGridEvery w:val="2"/>
  <w:displayVerticalDrawingGridEvery w:val="2"/>
  <w:doNotUseMarginsForDrawingGridOrigin/>
  <w:drawingGridHorizontalOrigin w:val="0"/>
  <w:drawingGridVerticalOrigin w:val="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C7C"/>
    <w:rsid w:val="00003CB6"/>
    <w:rsid w:val="00012793"/>
    <w:rsid w:val="00014002"/>
    <w:rsid w:val="00033DF0"/>
    <w:rsid w:val="00034132"/>
    <w:rsid w:val="00040071"/>
    <w:rsid w:val="00041156"/>
    <w:rsid w:val="000514CC"/>
    <w:rsid w:val="00055FB4"/>
    <w:rsid w:val="00056026"/>
    <w:rsid w:val="00060A68"/>
    <w:rsid w:val="00073528"/>
    <w:rsid w:val="00076886"/>
    <w:rsid w:val="0008754B"/>
    <w:rsid w:val="00095CF4"/>
    <w:rsid w:val="0009699E"/>
    <w:rsid w:val="000A5E54"/>
    <w:rsid w:val="000C3259"/>
    <w:rsid w:val="000D009F"/>
    <w:rsid w:val="000E02A3"/>
    <w:rsid w:val="000E0643"/>
    <w:rsid w:val="000E3720"/>
    <w:rsid w:val="000E6BF2"/>
    <w:rsid w:val="000F64DD"/>
    <w:rsid w:val="00100BAC"/>
    <w:rsid w:val="0011033B"/>
    <w:rsid w:val="00120C40"/>
    <w:rsid w:val="001234C7"/>
    <w:rsid w:val="00125205"/>
    <w:rsid w:val="00130362"/>
    <w:rsid w:val="001545E0"/>
    <w:rsid w:val="0016331C"/>
    <w:rsid w:val="00177115"/>
    <w:rsid w:val="001A243B"/>
    <w:rsid w:val="001B2EC4"/>
    <w:rsid w:val="001C459C"/>
    <w:rsid w:val="001E2024"/>
    <w:rsid w:val="001E5CCD"/>
    <w:rsid w:val="001E7978"/>
    <w:rsid w:val="001F0158"/>
    <w:rsid w:val="00207A7C"/>
    <w:rsid w:val="00212907"/>
    <w:rsid w:val="002134AB"/>
    <w:rsid w:val="00235C7F"/>
    <w:rsid w:val="00236B80"/>
    <w:rsid w:val="0025127D"/>
    <w:rsid w:val="002526EA"/>
    <w:rsid w:val="00257BF1"/>
    <w:rsid w:val="0026474F"/>
    <w:rsid w:val="00274E8B"/>
    <w:rsid w:val="00281AEE"/>
    <w:rsid w:val="00283141"/>
    <w:rsid w:val="00285925"/>
    <w:rsid w:val="00285FC1"/>
    <w:rsid w:val="002A0D3A"/>
    <w:rsid w:val="002C5BA2"/>
    <w:rsid w:val="002E0F63"/>
    <w:rsid w:val="002F042B"/>
    <w:rsid w:val="00315C93"/>
    <w:rsid w:val="00316346"/>
    <w:rsid w:val="0033002F"/>
    <w:rsid w:val="00330679"/>
    <w:rsid w:val="00341520"/>
    <w:rsid w:val="00342235"/>
    <w:rsid w:val="003424E6"/>
    <w:rsid w:val="003442F7"/>
    <w:rsid w:val="0036305A"/>
    <w:rsid w:val="00371E21"/>
    <w:rsid w:val="003760E7"/>
    <w:rsid w:val="003778E8"/>
    <w:rsid w:val="00390622"/>
    <w:rsid w:val="003917F9"/>
    <w:rsid w:val="00396A82"/>
    <w:rsid w:val="003B1144"/>
    <w:rsid w:val="003B5528"/>
    <w:rsid w:val="003D36D3"/>
    <w:rsid w:val="003E1C93"/>
    <w:rsid w:val="003E26BE"/>
    <w:rsid w:val="003E293E"/>
    <w:rsid w:val="003E4D03"/>
    <w:rsid w:val="003F347D"/>
    <w:rsid w:val="003F5344"/>
    <w:rsid w:val="003F7936"/>
    <w:rsid w:val="00402B41"/>
    <w:rsid w:val="00412F43"/>
    <w:rsid w:val="00422EA7"/>
    <w:rsid w:val="00431C87"/>
    <w:rsid w:val="00437824"/>
    <w:rsid w:val="00443DDD"/>
    <w:rsid w:val="00444D9F"/>
    <w:rsid w:val="00446B49"/>
    <w:rsid w:val="004536DF"/>
    <w:rsid w:val="00455AC0"/>
    <w:rsid w:val="004578FA"/>
    <w:rsid w:val="0047768C"/>
    <w:rsid w:val="004A1E00"/>
    <w:rsid w:val="004A59DF"/>
    <w:rsid w:val="004A79D2"/>
    <w:rsid w:val="004C2609"/>
    <w:rsid w:val="004D21CD"/>
    <w:rsid w:val="004D5834"/>
    <w:rsid w:val="004E240B"/>
    <w:rsid w:val="004E6888"/>
    <w:rsid w:val="004F572C"/>
    <w:rsid w:val="005020AA"/>
    <w:rsid w:val="0050769F"/>
    <w:rsid w:val="00507F90"/>
    <w:rsid w:val="00513E41"/>
    <w:rsid w:val="005211F6"/>
    <w:rsid w:val="00527462"/>
    <w:rsid w:val="00533C54"/>
    <w:rsid w:val="005356D9"/>
    <w:rsid w:val="00540762"/>
    <w:rsid w:val="00543898"/>
    <w:rsid w:val="00550F27"/>
    <w:rsid w:val="005522FF"/>
    <w:rsid w:val="00557B67"/>
    <w:rsid w:val="00561093"/>
    <w:rsid w:val="00565E0D"/>
    <w:rsid w:val="00566FE3"/>
    <w:rsid w:val="00574AF7"/>
    <w:rsid w:val="00590EF3"/>
    <w:rsid w:val="00597BE4"/>
    <w:rsid w:val="005A2157"/>
    <w:rsid w:val="005C0C61"/>
    <w:rsid w:val="005D473C"/>
    <w:rsid w:val="005E2823"/>
    <w:rsid w:val="005E2C8F"/>
    <w:rsid w:val="00606451"/>
    <w:rsid w:val="00607A4C"/>
    <w:rsid w:val="00624EAC"/>
    <w:rsid w:val="00642596"/>
    <w:rsid w:val="0065086D"/>
    <w:rsid w:val="006628FE"/>
    <w:rsid w:val="0067421F"/>
    <w:rsid w:val="00674FD6"/>
    <w:rsid w:val="00675636"/>
    <w:rsid w:val="00677847"/>
    <w:rsid w:val="00680549"/>
    <w:rsid w:val="006838FA"/>
    <w:rsid w:val="00686124"/>
    <w:rsid w:val="00692908"/>
    <w:rsid w:val="006A26BE"/>
    <w:rsid w:val="006B3519"/>
    <w:rsid w:val="006C2C00"/>
    <w:rsid w:val="006C3999"/>
    <w:rsid w:val="006F100B"/>
    <w:rsid w:val="006F707D"/>
    <w:rsid w:val="00706C5F"/>
    <w:rsid w:val="00706E7C"/>
    <w:rsid w:val="00733C34"/>
    <w:rsid w:val="00741EEF"/>
    <w:rsid w:val="00752FC9"/>
    <w:rsid w:val="00756071"/>
    <w:rsid w:val="00767F2D"/>
    <w:rsid w:val="00787030"/>
    <w:rsid w:val="007A3996"/>
    <w:rsid w:val="007B19F3"/>
    <w:rsid w:val="007D2AEB"/>
    <w:rsid w:val="007D642E"/>
    <w:rsid w:val="007E2CC1"/>
    <w:rsid w:val="007E68C3"/>
    <w:rsid w:val="00801A56"/>
    <w:rsid w:val="00805556"/>
    <w:rsid w:val="00807E7F"/>
    <w:rsid w:val="00815DD4"/>
    <w:rsid w:val="008231E7"/>
    <w:rsid w:val="00823E6F"/>
    <w:rsid w:val="0083541B"/>
    <w:rsid w:val="00837ECD"/>
    <w:rsid w:val="00842339"/>
    <w:rsid w:val="00844C4C"/>
    <w:rsid w:val="00852A30"/>
    <w:rsid w:val="008A6BBA"/>
    <w:rsid w:val="008A7E20"/>
    <w:rsid w:val="008B61B5"/>
    <w:rsid w:val="008C02B4"/>
    <w:rsid w:val="008C345D"/>
    <w:rsid w:val="008D09F0"/>
    <w:rsid w:val="008D4940"/>
    <w:rsid w:val="008D5ABD"/>
    <w:rsid w:val="008E0822"/>
    <w:rsid w:val="008F4372"/>
    <w:rsid w:val="008F4932"/>
    <w:rsid w:val="0090189E"/>
    <w:rsid w:val="009046B1"/>
    <w:rsid w:val="00926BDE"/>
    <w:rsid w:val="009354F3"/>
    <w:rsid w:val="00951623"/>
    <w:rsid w:val="009575FF"/>
    <w:rsid w:val="0095774A"/>
    <w:rsid w:val="00962D3B"/>
    <w:rsid w:val="00963A50"/>
    <w:rsid w:val="009730D5"/>
    <w:rsid w:val="00981EA2"/>
    <w:rsid w:val="00982B80"/>
    <w:rsid w:val="00991C27"/>
    <w:rsid w:val="00992BDA"/>
    <w:rsid w:val="00995AD5"/>
    <w:rsid w:val="009A161D"/>
    <w:rsid w:val="009C1227"/>
    <w:rsid w:val="009C3727"/>
    <w:rsid w:val="009C4216"/>
    <w:rsid w:val="009D11F6"/>
    <w:rsid w:val="009D61CA"/>
    <w:rsid w:val="009F4E32"/>
    <w:rsid w:val="009F61FE"/>
    <w:rsid w:val="00A0021E"/>
    <w:rsid w:val="00A01A18"/>
    <w:rsid w:val="00A03F1F"/>
    <w:rsid w:val="00A04614"/>
    <w:rsid w:val="00A068E6"/>
    <w:rsid w:val="00A1529A"/>
    <w:rsid w:val="00A15796"/>
    <w:rsid w:val="00A378C9"/>
    <w:rsid w:val="00A37BFA"/>
    <w:rsid w:val="00A43966"/>
    <w:rsid w:val="00A44130"/>
    <w:rsid w:val="00A502AA"/>
    <w:rsid w:val="00A60CCB"/>
    <w:rsid w:val="00A67D11"/>
    <w:rsid w:val="00A730A4"/>
    <w:rsid w:val="00A735F0"/>
    <w:rsid w:val="00A74AEE"/>
    <w:rsid w:val="00A75160"/>
    <w:rsid w:val="00A84DFA"/>
    <w:rsid w:val="00A85081"/>
    <w:rsid w:val="00A85977"/>
    <w:rsid w:val="00A94AB2"/>
    <w:rsid w:val="00A94EC1"/>
    <w:rsid w:val="00AA289E"/>
    <w:rsid w:val="00AB0BF9"/>
    <w:rsid w:val="00AB7602"/>
    <w:rsid w:val="00AC32F5"/>
    <w:rsid w:val="00AE37B5"/>
    <w:rsid w:val="00AE7B03"/>
    <w:rsid w:val="00AF4DB4"/>
    <w:rsid w:val="00AF7962"/>
    <w:rsid w:val="00B025B6"/>
    <w:rsid w:val="00B04420"/>
    <w:rsid w:val="00B06452"/>
    <w:rsid w:val="00B106DA"/>
    <w:rsid w:val="00B17BD8"/>
    <w:rsid w:val="00B27FAD"/>
    <w:rsid w:val="00B3061B"/>
    <w:rsid w:val="00B32165"/>
    <w:rsid w:val="00B33849"/>
    <w:rsid w:val="00B478E3"/>
    <w:rsid w:val="00B508B8"/>
    <w:rsid w:val="00B508D5"/>
    <w:rsid w:val="00B5151F"/>
    <w:rsid w:val="00B5403D"/>
    <w:rsid w:val="00B55FDF"/>
    <w:rsid w:val="00B5600F"/>
    <w:rsid w:val="00BA5C23"/>
    <w:rsid w:val="00BB3608"/>
    <w:rsid w:val="00BB37E4"/>
    <w:rsid w:val="00BB6A87"/>
    <w:rsid w:val="00BC3D21"/>
    <w:rsid w:val="00BD24CF"/>
    <w:rsid w:val="00BD2D1B"/>
    <w:rsid w:val="00BD581E"/>
    <w:rsid w:val="00BD60B6"/>
    <w:rsid w:val="00C005CE"/>
    <w:rsid w:val="00C04AB1"/>
    <w:rsid w:val="00C05C6B"/>
    <w:rsid w:val="00C11190"/>
    <w:rsid w:val="00C1159A"/>
    <w:rsid w:val="00C16DF2"/>
    <w:rsid w:val="00C40D68"/>
    <w:rsid w:val="00C46B5E"/>
    <w:rsid w:val="00C644EC"/>
    <w:rsid w:val="00C772CA"/>
    <w:rsid w:val="00C93F50"/>
    <w:rsid w:val="00CA19B7"/>
    <w:rsid w:val="00CA5BBE"/>
    <w:rsid w:val="00CA77CB"/>
    <w:rsid w:val="00CB2060"/>
    <w:rsid w:val="00CB23E7"/>
    <w:rsid w:val="00CB33BB"/>
    <w:rsid w:val="00CC4DEE"/>
    <w:rsid w:val="00CD3A25"/>
    <w:rsid w:val="00CD761E"/>
    <w:rsid w:val="00CE6306"/>
    <w:rsid w:val="00CF34D9"/>
    <w:rsid w:val="00CF3B6C"/>
    <w:rsid w:val="00D07E53"/>
    <w:rsid w:val="00D123B4"/>
    <w:rsid w:val="00D1327F"/>
    <w:rsid w:val="00D14A18"/>
    <w:rsid w:val="00D24489"/>
    <w:rsid w:val="00D57FF0"/>
    <w:rsid w:val="00D66BD9"/>
    <w:rsid w:val="00D73482"/>
    <w:rsid w:val="00D8379F"/>
    <w:rsid w:val="00D923BD"/>
    <w:rsid w:val="00D95343"/>
    <w:rsid w:val="00D9706E"/>
    <w:rsid w:val="00DA0042"/>
    <w:rsid w:val="00DB52DA"/>
    <w:rsid w:val="00DC1725"/>
    <w:rsid w:val="00DC7F99"/>
    <w:rsid w:val="00DD4D27"/>
    <w:rsid w:val="00DE01BF"/>
    <w:rsid w:val="00DF0074"/>
    <w:rsid w:val="00DF217F"/>
    <w:rsid w:val="00E3428D"/>
    <w:rsid w:val="00E44745"/>
    <w:rsid w:val="00E51072"/>
    <w:rsid w:val="00E531CC"/>
    <w:rsid w:val="00E56D27"/>
    <w:rsid w:val="00E61F97"/>
    <w:rsid w:val="00E6278D"/>
    <w:rsid w:val="00E673C4"/>
    <w:rsid w:val="00E761BA"/>
    <w:rsid w:val="00E83113"/>
    <w:rsid w:val="00E834E4"/>
    <w:rsid w:val="00E8448C"/>
    <w:rsid w:val="00EA31C2"/>
    <w:rsid w:val="00EA3DE8"/>
    <w:rsid w:val="00EA4AEF"/>
    <w:rsid w:val="00EB08D9"/>
    <w:rsid w:val="00EB75EA"/>
    <w:rsid w:val="00EC6F19"/>
    <w:rsid w:val="00EF1770"/>
    <w:rsid w:val="00EF37D9"/>
    <w:rsid w:val="00EF6205"/>
    <w:rsid w:val="00F0435D"/>
    <w:rsid w:val="00F101D6"/>
    <w:rsid w:val="00F17F45"/>
    <w:rsid w:val="00F221DA"/>
    <w:rsid w:val="00F3080E"/>
    <w:rsid w:val="00F44BA3"/>
    <w:rsid w:val="00F46148"/>
    <w:rsid w:val="00F50943"/>
    <w:rsid w:val="00F5683B"/>
    <w:rsid w:val="00F649B6"/>
    <w:rsid w:val="00F66A2D"/>
    <w:rsid w:val="00F73A38"/>
    <w:rsid w:val="00F765D8"/>
    <w:rsid w:val="00F90092"/>
    <w:rsid w:val="00F912DE"/>
    <w:rsid w:val="00F93DA0"/>
    <w:rsid w:val="00F952DF"/>
    <w:rsid w:val="00F957B6"/>
    <w:rsid w:val="00F95C7C"/>
    <w:rsid w:val="00FB2ECD"/>
    <w:rsid w:val="00FC02F4"/>
    <w:rsid w:val="00FD1C6D"/>
    <w:rsid w:val="00FE229F"/>
    <w:rsid w:val="00FE53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lsdException w:name="toc 6" w:semiHidden="1"/>
    <w:lsdException w:name="toc 7" w:semiHidden="1"/>
    <w:lsdException w:name="toc 8" w:semiHidden="1"/>
    <w:lsdException w:name="toc 9" w:semiHidden="1"/>
    <w:lsdException w:name="index heading" w:semiHidden="1"/>
    <w:lsdException w:name="caption" w:semiHidden="1" w:unhideWhenUsed="1" w:qFormat="1"/>
    <w:lsdException w:name="table of figures"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
    <w:qFormat/>
    <w:rsid w:val="00A502AA"/>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9"/>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semiHidden/>
    <w:rsid w:val="00CA77CB"/>
    <w:pPr>
      <w:tabs>
        <w:tab w:val="center" w:pos="4320"/>
        <w:tab w:val="right" w:pos="8640"/>
      </w:tabs>
    </w:pPr>
  </w:style>
  <w:style w:type="paragraph" w:customStyle="1" w:styleId="Bullet">
    <w:name w:val="_Bullet"/>
    <w:link w:val="BulletChar"/>
    <w:qFormat/>
    <w:rsid w:val="00DC7F99"/>
    <w:pPr>
      <w:numPr>
        <w:numId w:val="16"/>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A502AA"/>
    <w:pPr>
      <w:spacing w:before="480" w:after="240" w:line="460" w:lineRule="atLeast"/>
      <w:outlineLvl w:val="0"/>
    </w:pPr>
    <w:rPr>
      <w:rFonts w:ascii="Calibri" w:hAnsi="Calibri" w:cs="Arial"/>
      <w:b/>
      <w:color w:val="228591"/>
      <w:sz w:val="40"/>
      <w:szCs w:val="24"/>
      <w:lang w:val="en-US" w:eastAsia="en-US"/>
    </w:rPr>
  </w:style>
  <w:style w:type="paragraph" w:customStyle="1" w:styleId="HB">
    <w:name w:val="_HB"/>
    <w:next w:val="Normal"/>
    <w:uiPriority w:val="2"/>
    <w:qFormat/>
    <w:rsid w:val="006628FE"/>
    <w:pPr>
      <w:spacing w:before="36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6628FE"/>
    <w:pPr>
      <w:spacing w:before="240" w:after="57" w:line="220" w:lineRule="atLeast"/>
    </w:pPr>
    <w:rPr>
      <w:rFonts w:ascii="Calibri" w:hAnsi="Calibri" w:cs="Arial"/>
      <w:b/>
      <w:sz w:val="24"/>
      <w:szCs w:val="24"/>
      <w:lang w:eastAsia="en-US"/>
    </w:rPr>
  </w:style>
  <w:style w:type="paragraph" w:customStyle="1" w:styleId="HD">
    <w:name w:val="_HD"/>
    <w:next w:val="Normal"/>
    <w:uiPriority w:val="2"/>
    <w:qFormat/>
    <w:rsid w:val="006628FE"/>
    <w:pPr>
      <w:spacing w:before="240"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23"/>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2"/>
      </w:numPr>
    </w:pPr>
  </w:style>
  <w:style w:type="numbering" w:styleId="1ai">
    <w:name w:val="Outline List 1"/>
    <w:basedOn w:val="NoList"/>
    <w:semiHidden/>
    <w:rsid w:val="004578FA"/>
    <w:pPr>
      <w:numPr>
        <w:numId w:val="3"/>
      </w:numPr>
    </w:pPr>
  </w:style>
  <w:style w:type="numbering" w:styleId="ArticleSection">
    <w:name w:val="Outline List 3"/>
    <w:basedOn w:val="NoList"/>
    <w:semiHidden/>
    <w:rsid w:val="004578FA"/>
    <w:pPr>
      <w:numPr>
        <w:numId w:val="4"/>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uiPriority w:val="99"/>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5"/>
      </w:numPr>
    </w:pPr>
  </w:style>
  <w:style w:type="paragraph" w:styleId="ListBullet2">
    <w:name w:val="List Bullet 2"/>
    <w:basedOn w:val="Normal"/>
    <w:semiHidden/>
    <w:rsid w:val="004578FA"/>
    <w:pPr>
      <w:numPr>
        <w:numId w:val="6"/>
      </w:numPr>
    </w:pPr>
  </w:style>
  <w:style w:type="paragraph" w:styleId="ListBullet3">
    <w:name w:val="List Bullet 3"/>
    <w:basedOn w:val="Normal"/>
    <w:semiHidden/>
    <w:rsid w:val="004578FA"/>
    <w:pPr>
      <w:numPr>
        <w:numId w:val="7"/>
      </w:numPr>
    </w:pPr>
  </w:style>
  <w:style w:type="paragraph" w:styleId="ListBullet4">
    <w:name w:val="List Bullet 4"/>
    <w:basedOn w:val="Normal"/>
    <w:semiHidden/>
    <w:rsid w:val="004578FA"/>
    <w:pPr>
      <w:numPr>
        <w:numId w:val="8"/>
      </w:numPr>
    </w:pPr>
  </w:style>
  <w:style w:type="paragraph" w:styleId="ListBullet5">
    <w:name w:val="List Bullet 5"/>
    <w:basedOn w:val="Normal"/>
    <w:semiHidden/>
    <w:rsid w:val="004578FA"/>
    <w:pPr>
      <w:numPr>
        <w:numId w:val="9"/>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10"/>
      </w:numPr>
    </w:pPr>
  </w:style>
  <w:style w:type="paragraph" w:styleId="ListNumber2">
    <w:name w:val="List Number 2"/>
    <w:basedOn w:val="Normal"/>
    <w:semiHidden/>
    <w:rsid w:val="004578FA"/>
    <w:pPr>
      <w:numPr>
        <w:numId w:val="11"/>
      </w:numPr>
    </w:pPr>
  </w:style>
  <w:style w:type="paragraph" w:styleId="ListNumber3">
    <w:name w:val="List Number 3"/>
    <w:basedOn w:val="Normal"/>
    <w:semiHidden/>
    <w:rsid w:val="004578FA"/>
    <w:pPr>
      <w:numPr>
        <w:numId w:val="12"/>
      </w:numPr>
    </w:pPr>
  </w:style>
  <w:style w:type="paragraph" w:styleId="ListNumber4">
    <w:name w:val="List Number 4"/>
    <w:basedOn w:val="Normal"/>
    <w:semiHidden/>
    <w:rsid w:val="004578FA"/>
    <w:pPr>
      <w:numPr>
        <w:numId w:val="13"/>
      </w:numPr>
    </w:pPr>
  </w:style>
  <w:style w:type="paragraph" w:styleId="ListNumber5">
    <w:name w:val="List Number 5"/>
    <w:basedOn w:val="Normal"/>
    <w:semiHidden/>
    <w:rsid w:val="004578FA"/>
    <w:pPr>
      <w:numPr>
        <w:numId w:val="14"/>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qFormat/>
    <w:rsid w:val="00DC7F99"/>
    <w:pPr>
      <w:tabs>
        <w:tab w:val="right" w:pos="9629"/>
      </w:tabs>
      <w:spacing w:after="60"/>
    </w:pPr>
    <w:rPr>
      <w:noProof/>
      <w:szCs w:val="18"/>
    </w:rPr>
  </w:style>
  <w:style w:type="paragraph" w:styleId="TOC1">
    <w:name w:val="toc 1"/>
    <w:basedOn w:val="Normal"/>
    <w:next w:val="Normal"/>
    <w:autoRedefine/>
    <w:uiPriority w:val="39"/>
    <w:qFormat/>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uiPriority w:val="39"/>
    <w:qFormat/>
    <w:rsid w:val="007B19F3"/>
    <w:pPr>
      <w:ind w:left="480"/>
    </w:p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Bullet3">
    <w:name w:val="_Bullet3"/>
    <w:basedOn w:val="Bullet2"/>
    <w:uiPriority w:val="9"/>
    <w:qFormat/>
    <w:rsid w:val="00056026"/>
    <w:pPr>
      <w:numPr>
        <w:ilvl w:val="0"/>
        <w:numId w:val="26"/>
      </w:numPr>
      <w:tabs>
        <w:tab w:val="left" w:pos="170"/>
      </w:tabs>
      <w:ind w:right="510"/>
    </w:pPr>
  </w:style>
  <w:style w:type="paragraph" w:styleId="TOCHeading">
    <w:name w:val="TOC Heading"/>
    <w:basedOn w:val="Heading1"/>
    <w:next w:val="Normal"/>
    <w:uiPriority w:val="39"/>
    <w:semiHidden/>
    <w:unhideWhenUsed/>
    <w:qFormat/>
    <w:rsid w:val="004E240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4">
    <w:name w:val="toc 4"/>
    <w:basedOn w:val="Normal"/>
    <w:next w:val="Normal"/>
    <w:autoRedefine/>
    <w:uiPriority w:val="39"/>
    <w:rsid w:val="004E240B"/>
    <w:pPr>
      <w:spacing w:after="100"/>
      <w:ind w:left="660"/>
    </w:pPr>
  </w:style>
  <w:style w:type="table" w:customStyle="1" w:styleId="TableGrid10">
    <w:name w:val="Table Grid1"/>
    <w:basedOn w:val="TableNormal"/>
    <w:next w:val="TableGrid"/>
    <w:uiPriority w:val="59"/>
    <w:rsid w:val="002134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semiHidden="1" w:uiPriority="39"/>
    <w:lsdException w:name="toc 5" w:semiHidden="1"/>
    <w:lsdException w:name="toc 6" w:semiHidden="1"/>
    <w:lsdException w:name="toc 7" w:semiHidden="1"/>
    <w:lsdException w:name="toc 8" w:semiHidden="1"/>
    <w:lsdException w:name="toc 9" w:semiHidden="1"/>
    <w:lsdException w:name="index heading" w:semiHidden="1"/>
    <w:lsdException w:name="caption" w:semiHidden="1" w:unhideWhenUsed="1" w:qFormat="1"/>
    <w:lsdException w:name="table of figures"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atentStyles>
  <w:style w:type="paragraph" w:default="1" w:styleId="Normal">
    <w:name w:val="Normal"/>
    <w:uiPriority w:val="9"/>
    <w:qFormat/>
    <w:rsid w:val="00A502AA"/>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9"/>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semiHidden/>
    <w:rsid w:val="00CA77CB"/>
    <w:pPr>
      <w:tabs>
        <w:tab w:val="center" w:pos="4320"/>
        <w:tab w:val="right" w:pos="8640"/>
      </w:tabs>
    </w:pPr>
  </w:style>
  <w:style w:type="paragraph" w:customStyle="1" w:styleId="Bullet">
    <w:name w:val="_Bullet"/>
    <w:link w:val="BulletChar"/>
    <w:qFormat/>
    <w:rsid w:val="00DC7F99"/>
    <w:pPr>
      <w:numPr>
        <w:numId w:val="16"/>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A502AA"/>
    <w:pPr>
      <w:spacing w:before="480" w:after="240" w:line="460" w:lineRule="atLeast"/>
      <w:outlineLvl w:val="0"/>
    </w:pPr>
    <w:rPr>
      <w:rFonts w:ascii="Calibri" w:hAnsi="Calibri" w:cs="Arial"/>
      <w:b/>
      <w:color w:val="228591"/>
      <w:sz w:val="40"/>
      <w:szCs w:val="24"/>
      <w:lang w:val="en-US" w:eastAsia="en-US"/>
    </w:rPr>
  </w:style>
  <w:style w:type="paragraph" w:customStyle="1" w:styleId="HB">
    <w:name w:val="_HB"/>
    <w:next w:val="Normal"/>
    <w:uiPriority w:val="2"/>
    <w:qFormat/>
    <w:rsid w:val="006628FE"/>
    <w:pPr>
      <w:spacing w:before="36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6628FE"/>
    <w:pPr>
      <w:spacing w:before="240" w:after="57" w:line="220" w:lineRule="atLeast"/>
    </w:pPr>
    <w:rPr>
      <w:rFonts w:ascii="Calibri" w:hAnsi="Calibri" w:cs="Arial"/>
      <w:b/>
      <w:sz w:val="24"/>
      <w:szCs w:val="24"/>
      <w:lang w:eastAsia="en-US"/>
    </w:rPr>
  </w:style>
  <w:style w:type="paragraph" w:customStyle="1" w:styleId="HD">
    <w:name w:val="_HD"/>
    <w:next w:val="Normal"/>
    <w:uiPriority w:val="2"/>
    <w:qFormat/>
    <w:rsid w:val="006628FE"/>
    <w:pPr>
      <w:spacing w:before="240"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23"/>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2"/>
      </w:numPr>
    </w:pPr>
  </w:style>
  <w:style w:type="numbering" w:styleId="1ai">
    <w:name w:val="Outline List 1"/>
    <w:basedOn w:val="NoList"/>
    <w:semiHidden/>
    <w:rsid w:val="004578FA"/>
    <w:pPr>
      <w:numPr>
        <w:numId w:val="3"/>
      </w:numPr>
    </w:pPr>
  </w:style>
  <w:style w:type="numbering" w:styleId="ArticleSection">
    <w:name w:val="Outline List 3"/>
    <w:basedOn w:val="NoList"/>
    <w:semiHidden/>
    <w:rsid w:val="004578FA"/>
    <w:pPr>
      <w:numPr>
        <w:numId w:val="4"/>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uiPriority w:val="99"/>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5"/>
      </w:numPr>
    </w:pPr>
  </w:style>
  <w:style w:type="paragraph" w:styleId="ListBullet2">
    <w:name w:val="List Bullet 2"/>
    <w:basedOn w:val="Normal"/>
    <w:semiHidden/>
    <w:rsid w:val="004578FA"/>
    <w:pPr>
      <w:numPr>
        <w:numId w:val="6"/>
      </w:numPr>
    </w:pPr>
  </w:style>
  <w:style w:type="paragraph" w:styleId="ListBullet3">
    <w:name w:val="List Bullet 3"/>
    <w:basedOn w:val="Normal"/>
    <w:semiHidden/>
    <w:rsid w:val="004578FA"/>
    <w:pPr>
      <w:numPr>
        <w:numId w:val="7"/>
      </w:numPr>
    </w:pPr>
  </w:style>
  <w:style w:type="paragraph" w:styleId="ListBullet4">
    <w:name w:val="List Bullet 4"/>
    <w:basedOn w:val="Normal"/>
    <w:semiHidden/>
    <w:rsid w:val="004578FA"/>
    <w:pPr>
      <w:numPr>
        <w:numId w:val="8"/>
      </w:numPr>
    </w:pPr>
  </w:style>
  <w:style w:type="paragraph" w:styleId="ListBullet5">
    <w:name w:val="List Bullet 5"/>
    <w:basedOn w:val="Normal"/>
    <w:semiHidden/>
    <w:rsid w:val="004578FA"/>
    <w:pPr>
      <w:numPr>
        <w:numId w:val="9"/>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10"/>
      </w:numPr>
    </w:pPr>
  </w:style>
  <w:style w:type="paragraph" w:styleId="ListNumber2">
    <w:name w:val="List Number 2"/>
    <w:basedOn w:val="Normal"/>
    <w:semiHidden/>
    <w:rsid w:val="004578FA"/>
    <w:pPr>
      <w:numPr>
        <w:numId w:val="11"/>
      </w:numPr>
    </w:pPr>
  </w:style>
  <w:style w:type="paragraph" w:styleId="ListNumber3">
    <w:name w:val="List Number 3"/>
    <w:basedOn w:val="Normal"/>
    <w:semiHidden/>
    <w:rsid w:val="004578FA"/>
    <w:pPr>
      <w:numPr>
        <w:numId w:val="12"/>
      </w:numPr>
    </w:pPr>
  </w:style>
  <w:style w:type="paragraph" w:styleId="ListNumber4">
    <w:name w:val="List Number 4"/>
    <w:basedOn w:val="Normal"/>
    <w:semiHidden/>
    <w:rsid w:val="004578FA"/>
    <w:pPr>
      <w:numPr>
        <w:numId w:val="13"/>
      </w:numPr>
    </w:pPr>
  </w:style>
  <w:style w:type="paragraph" w:styleId="ListNumber5">
    <w:name w:val="List Number 5"/>
    <w:basedOn w:val="Normal"/>
    <w:semiHidden/>
    <w:rsid w:val="004578FA"/>
    <w:pPr>
      <w:numPr>
        <w:numId w:val="14"/>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qFormat/>
    <w:rsid w:val="00DC7F99"/>
    <w:pPr>
      <w:tabs>
        <w:tab w:val="right" w:pos="9629"/>
      </w:tabs>
      <w:spacing w:after="60"/>
    </w:pPr>
    <w:rPr>
      <w:noProof/>
      <w:szCs w:val="18"/>
    </w:rPr>
  </w:style>
  <w:style w:type="paragraph" w:styleId="TOC1">
    <w:name w:val="toc 1"/>
    <w:basedOn w:val="Normal"/>
    <w:next w:val="Normal"/>
    <w:autoRedefine/>
    <w:uiPriority w:val="39"/>
    <w:qFormat/>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uiPriority w:val="39"/>
    <w:qFormat/>
    <w:rsid w:val="007B19F3"/>
    <w:pPr>
      <w:ind w:left="480"/>
    </w:p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Bullet3">
    <w:name w:val="_Bullet3"/>
    <w:basedOn w:val="Bullet2"/>
    <w:uiPriority w:val="9"/>
    <w:qFormat/>
    <w:rsid w:val="00056026"/>
    <w:pPr>
      <w:numPr>
        <w:ilvl w:val="0"/>
        <w:numId w:val="26"/>
      </w:numPr>
      <w:tabs>
        <w:tab w:val="left" w:pos="170"/>
      </w:tabs>
      <w:ind w:right="510"/>
    </w:pPr>
  </w:style>
  <w:style w:type="paragraph" w:styleId="TOCHeading">
    <w:name w:val="TOC Heading"/>
    <w:basedOn w:val="Heading1"/>
    <w:next w:val="Normal"/>
    <w:uiPriority w:val="39"/>
    <w:semiHidden/>
    <w:unhideWhenUsed/>
    <w:qFormat/>
    <w:rsid w:val="004E240B"/>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4">
    <w:name w:val="toc 4"/>
    <w:basedOn w:val="Normal"/>
    <w:next w:val="Normal"/>
    <w:autoRedefine/>
    <w:uiPriority w:val="39"/>
    <w:rsid w:val="004E240B"/>
    <w:pPr>
      <w:spacing w:after="100"/>
      <w:ind w:left="660"/>
    </w:pPr>
  </w:style>
  <w:style w:type="table" w:customStyle="1" w:styleId="TableGrid10">
    <w:name w:val="Table Grid1"/>
    <w:basedOn w:val="TableNormal"/>
    <w:next w:val="TableGrid"/>
    <w:uiPriority w:val="59"/>
    <w:rsid w:val="002134A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4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reativecommons.org/licenses/by/3.0/au/deed.en" TargetMode="Externa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www.delwp.vic.gov.a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relayservice.com.au" TargetMode="Externa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customer.service@delwp.vic.gov.au" TargetMode="External"/><Relationship Id="rId22" Type="http://schemas.openxmlformats.org/officeDocument/2006/relationships/footer" Target="footer6.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Report%20DE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27E22-ACC0-4900-8026-C7AF3B3BB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DEPI.dotx</Template>
  <TotalTime>0</TotalTime>
  <Pages>11</Pages>
  <Words>3073</Words>
  <Characters>16288</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19323</CharactersWithSpaces>
  <SharedDoc>false</SharedDoc>
  <HLinks>
    <vt:vector size="36" baseType="variant">
      <vt:variant>
        <vt:i4>1703997</vt:i4>
      </vt:variant>
      <vt:variant>
        <vt:i4>20</vt:i4>
      </vt:variant>
      <vt:variant>
        <vt:i4>0</vt:i4>
      </vt:variant>
      <vt:variant>
        <vt:i4>5</vt:i4>
      </vt:variant>
      <vt:variant>
        <vt:lpwstr/>
      </vt:variant>
      <vt:variant>
        <vt:lpwstr>_Toc358825452</vt:lpwstr>
      </vt:variant>
      <vt:variant>
        <vt:i4>1703997</vt:i4>
      </vt:variant>
      <vt:variant>
        <vt:i4>14</vt:i4>
      </vt:variant>
      <vt:variant>
        <vt:i4>0</vt:i4>
      </vt:variant>
      <vt:variant>
        <vt:i4>5</vt:i4>
      </vt:variant>
      <vt:variant>
        <vt:lpwstr/>
      </vt:variant>
      <vt:variant>
        <vt:lpwstr>_Toc358825451</vt:lpwstr>
      </vt:variant>
      <vt:variant>
        <vt:i4>1638431</vt:i4>
      </vt:variant>
      <vt:variant>
        <vt:i4>9</vt:i4>
      </vt:variant>
      <vt:variant>
        <vt:i4>0</vt:i4>
      </vt:variant>
      <vt:variant>
        <vt:i4>5</vt:i4>
      </vt:variant>
      <vt:variant>
        <vt:lpwstr>http://www.delwp.vic.gov.au/</vt:lpwstr>
      </vt:variant>
      <vt:variant>
        <vt:lpwstr/>
      </vt:variant>
      <vt:variant>
        <vt:i4>2490422</vt:i4>
      </vt:variant>
      <vt:variant>
        <vt:i4>6</vt:i4>
      </vt:variant>
      <vt:variant>
        <vt:i4>0</vt:i4>
      </vt:variant>
      <vt:variant>
        <vt:i4>5</vt:i4>
      </vt:variant>
      <vt:variant>
        <vt:lpwstr>http://www.relayservice.com.au/</vt:lpwstr>
      </vt:variant>
      <vt:variant>
        <vt:lpwstr/>
      </vt:variant>
      <vt:variant>
        <vt:i4>2687044</vt:i4>
      </vt:variant>
      <vt:variant>
        <vt:i4>3</vt:i4>
      </vt:variant>
      <vt:variant>
        <vt:i4>0</vt:i4>
      </vt:variant>
      <vt:variant>
        <vt:i4>5</vt:i4>
      </vt:variant>
      <vt:variant>
        <vt:lpwstr>mailto:customer.service@delwp.vic.gov.au</vt:lpwstr>
      </vt:variant>
      <vt:variant>
        <vt:lpwstr/>
      </vt:variant>
      <vt:variant>
        <vt:i4>5111827</vt:i4>
      </vt:variant>
      <vt:variant>
        <vt:i4>0</vt:i4>
      </vt:variant>
      <vt:variant>
        <vt:i4>0</vt:i4>
      </vt:variant>
      <vt:variant>
        <vt:i4>5</vt:i4>
      </vt:variant>
      <vt:variant>
        <vt:lpwstr>http://creativecommons.org/licenses/by/3.0/au/deed.en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2015-05-14T23:28:00Z</dcterms:created>
  <dcterms:modified xsi:type="dcterms:W3CDTF">2015-05-14T23:28:00Z</dcterms:modified>
</cp:coreProperties>
</file>